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F3E2E" w14:textId="61B10502" w:rsidR="000932F5" w:rsidRDefault="00964456">
      <w:r>
        <w:rPr>
          <w:noProof/>
        </w:rPr>
        <w:drawing>
          <wp:anchor distT="0" distB="0" distL="114300" distR="114300" simplePos="0" relativeHeight="251656704" behindDoc="0" locked="0" layoutInCell="1" allowOverlap="1" wp14:anchorId="05DF13C2" wp14:editId="17898372">
            <wp:simplePos x="0" y="0"/>
            <wp:positionH relativeFrom="column">
              <wp:posOffset>5143114</wp:posOffset>
            </wp:positionH>
            <wp:positionV relativeFrom="paragraph">
              <wp:posOffset>158363</wp:posOffset>
            </wp:positionV>
            <wp:extent cx="1638794" cy="163879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Circle-N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8794" cy="1638794"/>
                    </a:xfrm>
                    <a:prstGeom prst="rect">
                      <a:avLst/>
                    </a:prstGeom>
                  </pic:spPr>
                </pic:pic>
              </a:graphicData>
            </a:graphic>
            <wp14:sizeRelH relativeFrom="page">
              <wp14:pctWidth>0</wp14:pctWidth>
            </wp14:sizeRelH>
            <wp14:sizeRelV relativeFrom="page">
              <wp14:pctHeight>0</wp14:pctHeight>
            </wp14:sizeRelV>
          </wp:anchor>
        </w:drawing>
      </w:r>
      <w:r w:rsidR="000932F5">
        <w:rPr>
          <w:noProof/>
        </w:rPr>
        <mc:AlternateContent>
          <mc:Choice Requires="wps">
            <w:drawing>
              <wp:anchor distT="0" distB="0" distL="114300" distR="114300" simplePos="0" relativeHeight="251658752" behindDoc="0" locked="0" layoutInCell="1" allowOverlap="1" wp14:anchorId="716D904A" wp14:editId="20177062">
                <wp:simplePos x="0" y="0"/>
                <wp:positionH relativeFrom="margin">
                  <wp:posOffset>-12424</wp:posOffset>
                </wp:positionH>
                <wp:positionV relativeFrom="paragraph">
                  <wp:posOffset>-152566</wp:posOffset>
                </wp:positionV>
                <wp:extent cx="6504167" cy="320634"/>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6504167" cy="320634"/>
                        </a:xfrm>
                        <a:prstGeom prst="rect">
                          <a:avLst/>
                        </a:prstGeom>
                        <a:solidFill>
                          <a:schemeClr val="lt1"/>
                        </a:solidFill>
                        <a:ln w="6350">
                          <a:noFill/>
                          <a:prstDash val="sysDot"/>
                        </a:ln>
                      </wps:spPr>
                      <wps:txbx>
                        <w:txbxContent>
                          <w:p w14:paraId="00048B0B" w14:textId="77777777" w:rsidR="000932F5" w:rsidRDefault="000932F5" w:rsidP="000932F5">
                            <w:pPr>
                              <w:jc w:val="center"/>
                            </w:pPr>
                            <w:r>
                              <w:rPr>
                                <w:b/>
                              </w:rPr>
                              <w:t>Action Planning Template</w:t>
                            </w:r>
                          </w:p>
                          <w:p w14:paraId="4956C5E4" w14:textId="77777777" w:rsidR="000932F5" w:rsidRPr="00C776B9" w:rsidRDefault="000932F5" w:rsidP="000932F5">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D904A" id="_x0000_t202" coordsize="21600,21600" o:spt="202" path="m,l,21600r21600,l21600,xe">
                <v:stroke joinstyle="miter"/>
                <v:path gradientshapeok="t" o:connecttype="rect"/>
              </v:shapetype>
              <v:shape id="Text Box 12" o:spid="_x0000_s1026" type="#_x0000_t202" style="position:absolute;margin-left:-1pt;margin-top:-12pt;width:512.15pt;height:25.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" fillcolor="white [3201]" stroked="f" strokeweight=".5pt">
                <v:stroke dashstyle="1 1"/>
                <v:textbox>
                  <w:txbxContent>
                    <w:p w14:paraId="00048B0B" w14:textId="77777777" w:rsidR="000932F5" w:rsidRDefault="000932F5" w:rsidP="000932F5">
                      <w:pPr>
                        <w:jc w:val="center"/>
                      </w:pPr>
                      <w:r>
                        <w:rPr>
                          <w:b/>
                        </w:rPr>
                        <w:t>Action Planning Template</w:t>
                      </w:r>
                    </w:p>
                    <w:p w14:paraId="4956C5E4" w14:textId="77777777" w:rsidR="000932F5" w:rsidRPr="00C776B9" w:rsidRDefault="000932F5" w:rsidP="000932F5">
                      <w:pPr>
                        <w:rPr>
                          <w:u w:val="single"/>
                        </w:rPr>
                      </w:pPr>
                    </w:p>
                  </w:txbxContent>
                </v:textbox>
                <w10:wrap anchorx="margin"/>
              </v:shape>
            </w:pict>
          </mc:Fallback>
        </mc:AlternateContent>
      </w:r>
    </w:p>
    <w:p w14:paraId="123AD5EB" w14:textId="70D620B0" w:rsidR="00B11F2A" w:rsidRDefault="00B11F2A" w:rsidP="000932F5"/>
    <w:p w14:paraId="24E7D3A7" w14:textId="1036E0BD" w:rsidR="00BC3A4C" w:rsidRDefault="00BC3A4C" w:rsidP="00EE0B26">
      <w:pPr>
        <w:shd w:val="clear" w:color="auto" w:fill="BFBFBF" w:themeFill="background1" w:themeFillShade="BF"/>
        <w:rPr>
          <w:b/>
        </w:rPr>
      </w:pPr>
      <w:r>
        <w:rPr>
          <w:b/>
        </w:rPr>
        <w:t>Team Name:</w:t>
      </w:r>
      <w:r w:rsidR="00A44851">
        <w:rPr>
          <w:b/>
        </w:rPr>
        <w:t xml:space="preserve">  SWFI Child Care Economics Action Team</w:t>
      </w:r>
    </w:p>
    <w:p w14:paraId="6CAF7406" w14:textId="77777777" w:rsidR="00BC3A4C" w:rsidRDefault="00BC3A4C" w:rsidP="00BC3A4C"/>
    <w:p w14:paraId="2202F986" w14:textId="60DBF50A" w:rsidR="00BC3A4C" w:rsidRDefault="00BC3A4C" w:rsidP="00BC3A4C">
      <w:r w:rsidRPr="00A44851">
        <w:rPr>
          <w:b/>
        </w:rPr>
        <w:t>Members</w:t>
      </w:r>
      <w:r>
        <w:t>:</w:t>
      </w:r>
      <w:r w:rsidR="00A44851">
        <w:t xml:space="preserve">  Matt Cornett, AD Works; Michelle Ewing, Arapahoe </w:t>
      </w:r>
      <w:proofErr w:type="spellStart"/>
      <w:r w:rsidR="00EE0B26">
        <w:t>Cty</w:t>
      </w:r>
      <w:proofErr w:type="spellEnd"/>
      <w:r w:rsidR="00EE0B26">
        <w:t xml:space="preserve"> </w:t>
      </w:r>
      <w:r w:rsidR="00A44851">
        <w:t xml:space="preserve">Early Childhood Council; </w:t>
      </w:r>
      <w:proofErr w:type="spellStart"/>
      <w:r w:rsidR="00A44851">
        <w:t>Merienisa</w:t>
      </w:r>
      <w:proofErr w:type="spellEnd"/>
      <w:r w:rsidR="00A44851">
        <w:t xml:space="preserve"> Korban, SWFI student; Sharon Pendergast, ECPAC; Mary Russell, WLP; David Shapiro, EPIC; Victor Vialpando-Nunez, CCA; Janel Highfill, CCA</w:t>
      </w:r>
    </w:p>
    <w:p w14:paraId="7D9955AB" w14:textId="77777777" w:rsidR="00BC3A4C" w:rsidRDefault="00BC3A4C" w:rsidP="00BC3A4C">
      <w:pPr>
        <w:rPr>
          <w:u w:val="single"/>
        </w:rPr>
      </w:pPr>
    </w:p>
    <w:p w14:paraId="6968CEAF" w14:textId="77777777" w:rsidR="00A44851" w:rsidRDefault="00BC3A4C" w:rsidP="00A44851">
      <w:r w:rsidRPr="00A44851">
        <w:rPr>
          <w:b/>
        </w:rPr>
        <w:t>Team Lead(s)</w:t>
      </w:r>
      <w:r w:rsidRPr="000932F5">
        <w:t>:</w:t>
      </w:r>
      <w:r w:rsidR="00A44851">
        <w:t xml:space="preserve"> David Shapiro, EPIC; Victor Vialpando-Nunez, CCA; Janel Highfill, CCA</w:t>
      </w:r>
    </w:p>
    <w:p w14:paraId="71C96A84" w14:textId="74CDF014" w:rsidR="00BC3A4C" w:rsidRDefault="00BC3A4C" w:rsidP="00BC3A4C"/>
    <w:p w14:paraId="57084EF3" w14:textId="77FBD40D" w:rsidR="00BC3A4C" w:rsidRDefault="00BC3A4C" w:rsidP="00BC3A4C">
      <w:r w:rsidRPr="00A44851">
        <w:rPr>
          <w:b/>
        </w:rPr>
        <w:t>Purpose</w:t>
      </w:r>
      <w:r>
        <w:t>:</w:t>
      </w:r>
      <w:r w:rsidR="00A44851">
        <w:t xml:space="preserve"> </w:t>
      </w:r>
      <w:r w:rsidR="00A44851">
        <w:rPr>
          <w:color w:val="222222"/>
        </w:rPr>
        <w:t>The purpose of the SWFI Child Care Economics Action Team is to identify specific, actionable solutions to increase the affordability of quality care for parents while also ensuring the financial viability of care provision for center, home-based and informal care providers. Solutions to be explored for providers include: how to extend the benefits of child care tax breaks to broader array of care providers; expansion of public and private subsidies to underwrite business costs; new business models or structures to create more sustainable child care businesses that offer high quality care and livable wages for employees. Potential solutions for parents include: expansion of and/or re-prioritization of CCAP funds to address areas of most acute need; expansion of savings plan options and employer subsidies.</w:t>
      </w:r>
    </w:p>
    <w:p w14:paraId="029B4780" w14:textId="1302F488" w:rsidR="00831582" w:rsidRDefault="00831582" w:rsidP="00BC3A4C">
      <w:pPr>
        <w:rPr>
          <w:b/>
        </w:rPr>
        <w:sectPr w:rsidR="00831582" w:rsidSect="00831582">
          <w:pgSz w:w="12240" w:h="15840"/>
          <w:pgMar w:top="810" w:right="3240" w:bottom="1170" w:left="990" w:header="720" w:footer="720" w:gutter="0"/>
          <w:cols w:space="720"/>
          <w:docGrid w:linePitch="360"/>
        </w:sectPr>
      </w:pPr>
    </w:p>
    <w:p w14:paraId="7E5B14E3" w14:textId="485BBE2B" w:rsidR="00C10932" w:rsidRDefault="00C10932" w:rsidP="00BC3A4C">
      <w:pPr>
        <w:rPr>
          <w:b/>
        </w:rPr>
      </w:pPr>
    </w:p>
    <w:p w14:paraId="1B37BC06" w14:textId="2C060784" w:rsidR="00BC3A4C" w:rsidRDefault="00BC3A4C" w:rsidP="00EE0B26">
      <w:pPr>
        <w:shd w:val="clear" w:color="auto" w:fill="BFBFBF" w:themeFill="background1" w:themeFillShade="BF"/>
      </w:pPr>
      <w:r>
        <w:rPr>
          <w:b/>
        </w:rPr>
        <w:t xml:space="preserve">Include </w:t>
      </w:r>
      <w:r>
        <w:t xml:space="preserve">– Ensure the various people, perspectives, and systems that need to be involved to achieve </w:t>
      </w:r>
      <w:proofErr w:type="gramStart"/>
      <w:r>
        <w:t>your</w:t>
      </w:r>
      <w:proofErr w:type="gramEnd"/>
      <w:r>
        <w:t xml:space="preserve"> results are engaged in the work. </w:t>
      </w:r>
    </w:p>
    <w:p w14:paraId="443503A0" w14:textId="77777777" w:rsidR="00BC3A4C" w:rsidRDefault="00BC3A4C" w:rsidP="00BC3A4C">
      <w:pPr>
        <w:pStyle w:val="ListParagraph"/>
        <w:numPr>
          <w:ilvl w:val="0"/>
          <w:numId w:val="1"/>
        </w:numPr>
        <w:rPr>
          <w:b/>
        </w:rPr>
      </w:pPr>
      <w:r>
        <w:rPr>
          <w:b/>
        </w:rPr>
        <w:t>Who needs to be involved for this to be successful?</w:t>
      </w:r>
    </w:p>
    <w:p w14:paraId="40D8FBF9" w14:textId="77777777" w:rsidR="00BC3A4C" w:rsidRDefault="00BC3A4C" w:rsidP="00BC3A4C">
      <w:pPr>
        <w:pStyle w:val="ListParagraph"/>
        <w:numPr>
          <w:ilvl w:val="0"/>
          <w:numId w:val="1"/>
        </w:numPr>
        <w:rPr>
          <w:b/>
        </w:rPr>
      </w:pPr>
      <w:r>
        <w:rPr>
          <w:b/>
        </w:rPr>
        <w:t>Who will reach out to them?</w:t>
      </w:r>
    </w:p>
    <w:p w14:paraId="5F475A0B" w14:textId="35C43FDA" w:rsidR="00BC3A4C" w:rsidRDefault="00BC3A4C" w:rsidP="00BC3A4C">
      <w:pPr>
        <w:pStyle w:val="ListParagraph"/>
        <w:numPr>
          <w:ilvl w:val="0"/>
          <w:numId w:val="1"/>
        </w:numPr>
        <w:rPr>
          <w:b/>
        </w:rPr>
      </w:pPr>
      <w:r>
        <w:rPr>
          <w:b/>
        </w:rPr>
        <w:t>What needs to be in place for everyone to meaningfully participate?</w:t>
      </w:r>
    </w:p>
    <w:p w14:paraId="44D270E0" w14:textId="4D24135A" w:rsidR="006F3B81" w:rsidRDefault="006F3B81" w:rsidP="006F3B81">
      <w:pPr>
        <w:rPr>
          <w:b/>
        </w:rPr>
      </w:pPr>
    </w:p>
    <w:p w14:paraId="7C073224" w14:textId="3FD6921E" w:rsidR="006F3B81" w:rsidRPr="00716A46" w:rsidRDefault="009B656A" w:rsidP="006F3B81">
      <w:r w:rsidRPr="00716A46">
        <w:t>Successful providers in target markets under consideration</w:t>
      </w:r>
    </w:p>
    <w:p w14:paraId="2C5A2336" w14:textId="19059833" w:rsidR="006F3B81" w:rsidRDefault="006F3B81" w:rsidP="006F3B81">
      <w:pPr>
        <w:rPr>
          <w:b/>
        </w:rPr>
      </w:pPr>
    </w:p>
    <w:p w14:paraId="06AC9E3E" w14:textId="214EFCFD" w:rsidR="006F3B81" w:rsidRDefault="006F3B81" w:rsidP="006F3B81">
      <w:pPr>
        <w:rPr>
          <w:b/>
        </w:rPr>
      </w:pPr>
    </w:p>
    <w:p w14:paraId="6E4C2ABB" w14:textId="79F60641" w:rsidR="006F3B81" w:rsidRDefault="006F3B81" w:rsidP="006F3B81">
      <w:pPr>
        <w:rPr>
          <w:b/>
        </w:rPr>
      </w:pPr>
    </w:p>
    <w:p w14:paraId="6E5AF208" w14:textId="32041804" w:rsidR="006F3B81" w:rsidRDefault="006F3B81" w:rsidP="006F3B81">
      <w:pPr>
        <w:rPr>
          <w:b/>
        </w:rPr>
      </w:pPr>
    </w:p>
    <w:p w14:paraId="621A15B6" w14:textId="77777777" w:rsidR="006F3B81" w:rsidRDefault="006F3B81" w:rsidP="006F3B81">
      <w:pPr>
        <w:rPr>
          <w:b/>
        </w:rPr>
      </w:pPr>
    </w:p>
    <w:p w14:paraId="77835A24" w14:textId="77777777" w:rsidR="006F3B81" w:rsidRDefault="006F3B81" w:rsidP="00EE0B26">
      <w:pPr>
        <w:shd w:val="clear" w:color="auto" w:fill="BFBFBF" w:themeFill="background1" w:themeFillShade="BF"/>
      </w:pPr>
      <w:r>
        <w:rPr>
          <w:b/>
        </w:rPr>
        <w:t>Dialogue</w:t>
      </w:r>
      <w:r>
        <w:t xml:space="preserve"> – Before jumping into action, take a minute to understand the context and the landscape, consider research and best practices, and tap into creativity and new possibilities.  </w:t>
      </w:r>
    </w:p>
    <w:p w14:paraId="05261EA1" w14:textId="77777777" w:rsidR="006F3B81" w:rsidRPr="005A326C" w:rsidRDefault="006F3B81" w:rsidP="006F3B81">
      <w:pPr>
        <w:pStyle w:val="ListParagraph"/>
        <w:numPr>
          <w:ilvl w:val="0"/>
          <w:numId w:val="1"/>
        </w:numPr>
        <w:rPr>
          <w:b/>
        </w:rPr>
      </w:pPr>
      <w:r>
        <w:rPr>
          <w:b/>
        </w:rPr>
        <w:t>What do we know has been tried before, and what does research suggest is effective?</w:t>
      </w:r>
    </w:p>
    <w:p w14:paraId="2271AA3B" w14:textId="77777777" w:rsidR="006F3B81" w:rsidRDefault="006F3B81" w:rsidP="006F3B81">
      <w:pPr>
        <w:pStyle w:val="ListParagraph"/>
        <w:numPr>
          <w:ilvl w:val="0"/>
          <w:numId w:val="1"/>
        </w:numPr>
        <w:rPr>
          <w:b/>
        </w:rPr>
      </w:pPr>
      <w:r>
        <w:rPr>
          <w:b/>
        </w:rPr>
        <w:t>What are the differing perspectives in the community on what we are trying to do, and how might we find common ground—or at least avoid conflicts?</w:t>
      </w:r>
    </w:p>
    <w:p w14:paraId="47A3F1E3" w14:textId="7D9C658F" w:rsidR="006F3B81" w:rsidRDefault="006F3B81" w:rsidP="006F3B81">
      <w:pPr>
        <w:rPr>
          <w:b/>
        </w:rPr>
      </w:pPr>
    </w:p>
    <w:p w14:paraId="7371B6CE" w14:textId="39CF8541" w:rsidR="006F3B81" w:rsidRDefault="00A44851" w:rsidP="006F3B81">
      <w:r>
        <w:rPr>
          <w:b/>
        </w:rPr>
        <w:t xml:space="preserve">Successful corporate models – </w:t>
      </w:r>
      <w:r w:rsidRPr="00EE0B26">
        <w:t>Goddard, Bright Horizons, etc. – include legal, HR, accounting supports for franchisees which provide critical, systems-or</w:t>
      </w:r>
      <w:r w:rsidR="00EE0B26">
        <w:t>iented supports.  Limitations of these models are their selectivity around locations and populations served.</w:t>
      </w:r>
    </w:p>
    <w:p w14:paraId="46FAB273" w14:textId="77777777" w:rsidR="00EE0B26" w:rsidRDefault="00EE0B26" w:rsidP="006F3B81">
      <w:pPr>
        <w:rPr>
          <w:b/>
        </w:rPr>
      </w:pPr>
    </w:p>
    <w:p w14:paraId="46E6FAFD" w14:textId="7C20188A" w:rsidR="00EE0B26" w:rsidRDefault="00EE0B26" w:rsidP="006F3B81">
      <w:r w:rsidRPr="00EE0B26">
        <w:rPr>
          <w:b/>
        </w:rPr>
        <w:lastRenderedPageBreak/>
        <w:t>Early Learning Ventures</w:t>
      </w:r>
      <w:r>
        <w:t xml:space="preserve"> – provides shared services model, similar to the corporate support model, however, services as too expensive for many providers;  their focus is on centers with 4-75 kids</w:t>
      </w:r>
      <w:r w:rsidR="001F2148">
        <w:t>; ELV is one of several child care management systems available for child care owners/directors</w:t>
      </w:r>
    </w:p>
    <w:p w14:paraId="505435DC" w14:textId="49A30BF1" w:rsidR="00EE0B26" w:rsidRDefault="00EE0B26" w:rsidP="006F3B81"/>
    <w:p w14:paraId="0F0E0049" w14:textId="60202D20" w:rsidR="00EE0B26" w:rsidRDefault="00EE0B26" w:rsidP="006F3B81">
      <w:pPr>
        <w:rPr>
          <w:b/>
        </w:rPr>
      </w:pPr>
      <w:r w:rsidRPr="00EE0B26">
        <w:rPr>
          <w:b/>
        </w:rPr>
        <w:t>Arapahoe C</w:t>
      </w:r>
      <w:r w:rsidR="001F2148">
        <w:rPr>
          <w:b/>
        </w:rPr>
        <w:t>oun</w:t>
      </w:r>
      <w:r w:rsidRPr="00EE0B26">
        <w:rPr>
          <w:b/>
        </w:rPr>
        <w:t>ty Early Childhood Council</w:t>
      </w:r>
      <w:r w:rsidR="001F2148">
        <w:t xml:space="preserve"> – Business Support Services, include </w:t>
      </w:r>
      <w:r>
        <w:t>business coaching</w:t>
      </w:r>
      <w:r w:rsidR="001F2148">
        <w:t xml:space="preserve">, training, </w:t>
      </w:r>
      <w:r>
        <w:t>access to reduced cost legal and related servic</w:t>
      </w:r>
      <w:r w:rsidR="001F2148">
        <w:t>es; focus on licensed providers</w:t>
      </w:r>
    </w:p>
    <w:p w14:paraId="6314C93F" w14:textId="2F7971AB" w:rsidR="006F3B81" w:rsidRDefault="006F3B81" w:rsidP="006F3B81">
      <w:pPr>
        <w:rPr>
          <w:b/>
        </w:rPr>
      </w:pPr>
    </w:p>
    <w:p w14:paraId="6E9AA0B0" w14:textId="7E930CBC" w:rsidR="006F3B81" w:rsidRDefault="00EE0B26" w:rsidP="006F3B81">
      <w:r>
        <w:rPr>
          <w:b/>
        </w:rPr>
        <w:t xml:space="preserve">Key to child care business success:  </w:t>
      </w:r>
      <w:r>
        <w:t xml:space="preserve">systems for </w:t>
      </w:r>
      <w:r w:rsidR="001F2148">
        <w:t xml:space="preserve">all aspects of business operations, including </w:t>
      </w:r>
      <w:r>
        <w:t>expense tracking and other business details</w:t>
      </w:r>
      <w:r w:rsidR="001F2148">
        <w:t>; directors and owners much know how to balance the business side with regulatory and parent demands/needs</w:t>
      </w:r>
    </w:p>
    <w:p w14:paraId="487DE4DB" w14:textId="00D3A1FE" w:rsidR="00935C72" w:rsidRDefault="00935C72" w:rsidP="006F3B81"/>
    <w:p w14:paraId="51FA48FE" w14:textId="12E5131E" w:rsidR="001F2148" w:rsidRDefault="001F2148" w:rsidP="006F3B81">
      <w:r w:rsidRPr="00716A46">
        <w:rPr>
          <w:b/>
        </w:rPr>
        <w:t>Access to capital/funding is a challenge</w:t>
      </w:r>
      <w:r w:rsidR="00716A46" w:rsidRPr="00716A46">
        <w:rPr>
          <w:b/>
        </w:rPr>
        <w:t xml:space="preserve"> and a limitation</w:t>
      </w:r>
      <w:r>
        <w:t xml:space="preserve">:  </w:t>
      </w:r>
      <w:r w:rsidR="00716A46">
        <w:t xml:space="preserve">the cost of obtaining a Colorado Shines quality rating is unsurmountable for some providers; </w:t>
      </w:r>
      <w:r>
        <w:t>maintaining</w:t>
      </w:r>
      <w:r w:rsidR="00716A46">
        <w:t xml:space="preserve"> high quality standards requires ongoing funding; wage increases for staff can increase faster than providers ability to adjust tuition and/or parents ability to pay increased rates</w:t>
      </w:r>
    </w:p>
    <w:p w14:paraId="135E93F3" w14:textId="77777777" w:rsidR="00716A46" w:rsidRDefault="00716A46" w:rsidP="006F3B81"/>
    <w:p w14:paraId="2B876C1C" w14:textId="71A52EF3" w:rsidR="006F3B81" w:rsidRDefault="00935C72" w:rsidP="006F3B81">
      <w:r w:rsidRPr="00935C72">
        <w:rPr>
          <w:b/>
        </w:rPr>
        <w:t>Director</w:t>
      </w:r>
      <w:r>
        <w:rPr>
          <w:b/>
        </w:rPr>
        <w:t>s</w:t>
      </w:r>
      <w:r w:rsidRPr="00935C72">
        <w:rPr>
          <w:b/>
        </w:rPr>
        <w:t xml:space="preserve"> of large centers (over 75 kids) </w:t>
      </w:r>
      <w:r w:rsidR="001F2148">
        <w:rPr>
          <w:b/>
        </w:rPr>
        <w:t xml:space="preserve">required to take 2, 3-credit courses for their director’s license:  </w:t>
      </w:r>
      <w:r w:rsidR="001F2148">
        <w:t>coursework includes administration and human relations</w:t>
      </w:r>
      <w:r>
        <w:t xml:space="preserve">; gap exists </w:t>
      </w:r>
      <w:r w:rsidR="001F2148">
        <w:t xml:space="preserve">with owners who may have limited knowledge of child care regulations, requirements quality and strong business </w:t>
      </w:r>
      <w:proofErr w:type="gramStart"/>
      <w:r w:rsidR="001F2148">
        <w:t>practices</w:t>
      </w:r>
      <w:proofErr w:type="gramEnd"/>
      <w:r w:rsidR="001F2148">
        <w:t>; pre-licensing training on regulations, business practices and how to balance could be beneficial</w:t>
      </w:r>
    </w:p>
    <w:p w14:paraId="6A13128D" w14:textId="791B310C" w:rsidR="001F2148" w:rsidRDefault="001F2148" w:rsidP="006F3B81">
      <w:pPr>
        <w:rPr>
          <w:b/>
        </w:rPr>
      </w:pPr>
    </w:p>
    <w:p w14:paraId="56C8232A" w14:textId="364BF140" w:rsidR="00716A46" w:rsidRDefault="00716A46" w:rsidP="00716A46">
      <w:pPr>
        <w:pStyle w:val="NormalWeb"/>
        <w:rPr>
          <w:rFonts w:ascii="Calibri" w:hAnsi="Calibri" w:cs="Calibri"/>
          <w:color w:val="000000"/>
        </w:rPr>
      </w:pPr>
      <w:r w:rsidRPr="00716A46">
        <w:rPr>
          <w:rFonts w:ascii="Calibri" w:hAnsi="Calibri" w:cs="Calibri"/>
          <w:b/>
          <w:color w:val="000000"/>
        </w:rPr>
        <w:t>Cl</w:t>
      </w:r>
      <w:r w:rsidRPr="00716A46">
        <w:rPr>
          <w:rFonts w:ascii="Calibri" w:hAnsi="Calibri" w:cs="Calibri"/>
          <w:b/>
          <w:color w:val="000000"/>
        </w:rPr>
        <w:t>assification</w:t>
      </w:r>
      <w:r w:rsidRPr="00716A46">
        <w:rPr>
          <w:rFonts w:ascii="Calibri" w:hAnsi="Calibri" w:cs="Calibri"/>
          <w:b/>
          <w:color w:val="000000"/>
        </w:rPr>
        <w:t>s</w:t>
      </w:r>
      <w:r w:rsidRPr="00716A46">
        <w:rPr>
          <w:rFonts w:ascii="Calibri" w:hAnsi="Calibri" w:cs="Calibri"/>
          <w:b/>
          <w:color w:val="000000"/>
        </w:rPr>
        <w:t xml:space="preserve"> of child care providers</w:t>
      </w:r>
      <w:r>
        <w:rPr>
          <w:rFonts w:ascii="Calibri" w:hAnsi="Calibri" w:cs="Calibri"/>
          <w:color w:val="000000"/>
        </w:rPr>
        <w:t>:</w:t>
      </w:r>
    </w:p>
    <w:p w14:paraId="4B4A7E04" w14:textId="77777777" w:rsidR="00716A46" w:rsidRDefault="00716A46" w:rsidP="00716A46">
      <w:pPr>
        <w:pStyle w:val="NormalWeb"/>
        <w:numPr>
          <w:ilvl w:val="0"/>
          <w:numId w:val="2"/>
        </w:numPr>
        <w:rPr>
          <w:rFonts w:ascii="Calibri" w:hAnsi="Calibri" w:cs="Calibri"/>
          <w:color w:val="000000"/>
        </w:rPr>
      </w:pPr>
      <w:r>
        <w:rPr>
          <w:rFonts w:ascii="Calibri" w:hAnsi="Calibri" w:cs="Calibri"/>
          <w:color w:val="000000"/>
        </w:rPr>
        <w:t>Child Care Centers - Can serve 1 child to as many as can legally fit in the building.</w:t>
      </w:r>
      <w:r>
        <w:rPr>
          <w:rFonts w:ascii="Calibri" w:hAnsi="Calibri" w:cs="Calibri"/>
          <w:color w:val="000000"/>
        </w:rPr>
        <w:t xml:space="preserve"> </w:t>
      </w:r>
      <w:r w:rsidRPr="00716A46">
        <w:rPr>
          <w:rFonts w:ascii="Calibri" w:hAnsi="Calibri" w:cs="Calibri"/>
          <w:color w:val="000000"/>
        </w:rPr>
        <w:t>Small, Private Owned child care centers tend to have between 4-75 children. Once you get past 75 children, the center can function better fiscally. This is considered the 'sweet spot'</w:t>
      </w:r>
    </w:p>
    <w:p w14:paraId="743380F3" w14:textId="77777777" w:rsidR="00716A46" w:rsidRDefault="00716A46" w:rsidP="00716A46">
      <w:pPr>
        <w:pStyle w:val="NormalWeb"/>
        <w:numPr>
          <w:ilvl w:val="0"/>
          <w:numId w:val="2"/>
        </w:numPr>
        <w:rPr>
          <w:rFonts w:ascii="Calibri" w:hAnsi="Calibri" w:cs="Calibri"/>
          <w:color w:val="000000"/>
        </w:rPr>
      </w:pPr>
      <w:r w:rsidRPr="00716A46">
        <w:rPr>
          <w:rFonts w:ascii="Calibri" w:hAnsi="Calibri" w:cs="Calibri"/>
          <w:color w:val="000000"/>
        </w:rPr>
        <w:t>Family Child Care Home Providers - depends on license:</w:t>
      </w:r>
    </w:p>
    <w:p w14:paraId="0D9EFE5C" w14:textId="77777777" w:rsidR="00716A46" w:rsidRDefault="00716A46" w:rsidP="00716A46">
      <w:pPr>
        <w:pStyle w:val="NormalWeb"/>
        <w:numPr>
          <w:ilvl w:val="1"/>
          <w:numId w:val="2"/>
        </w:numPr>
        <w:rPr>
          <w:rFonts w:ascii="Calibri" w:hAnsi="Calibri" w:cs="Calibri"/>
          <w:color w:val="000000"/>
        </w:rPr>
      </w:pPr>
      <w:r w:rsidRPr="00716A46">
        <w:rPr>
          <w:rFonts w:ascii="Calibri" w:hAnsi="Calibri" w:cs="Calibri"/>
          <w:color w:val="000000"/>
        </w:rPr>
        <w:t>Family Child Care Homes - 6 children + 2 School Age (only one infant an</w:t>
      </w:r>
      <w:r>
        <w:rPr>
          <w:rFonts w:ascii="Calibri" w:hAnsi="Calibri" w:cs="Calibri"/>
          <w:color w:val="000000"/>
        </w:rPr>
        <w:t>d one toddler allowed at a time)</w:t>
      </w:r>
    </w:p>
    <w:p w14:paraId="3732925E" w14:textId="77777777" w:rsidR="00716A46" w:rsidRDefault="00716A46" w:rsidP="00716A46">
      <w:pPr>
        <w:pStyle w:val="NormalWeb"/>
        <w:numPr>
          <w:ilvl w:val="1"/>
          <w:numId w:val="2"/>
        </w:numPr>
        <w:rPr>
          <w:rFonts w:ascii="Calibri" w:hAnsi="Calibri" w:cs="Calibri"/>
          <w:color w:val="000000"/>
        </w:rPr>
      </w:pPr>
      <w:r w:rsidRPr="00716A46">
        <w:rPr>
          <w:rFonts w:ascii="Calibri" w:hAnsi="Calibri" w:cs="Calibri"/>
          <w:color w:val="000000"/>
        </w:rPr>
        <w:t>3 under 2 - allows the addition of an infant or toddler, still max of 6 children.</w:t>
      </w:r>
    </w:p>
    <w:p w14:paraId="4151C3B4" w14:textId="77777777" w:rsidR="00716A46" w:rsidRDefault="00716A46" w:rsidP="00716A46">
      <w:pPr>
        <w:pStyle w:val="NormalWeb"/>
        <w:numPr>
          <w:ilvl w:val="1"/>
          <w:numId w:val="2"/>
        </w:numPr>
        <w:rPr>
          <w:rFonts w:ascii="Calibri" w:hAnsi="Calibri" w:cs="Calibri"/>
          <w:color w:val="000000"/>
        </w:rPr>
      </w:pPr>
      <w:r w:rsidRPr="00716A46">
        <w:rPr>
          <w:rFonts w:ascii="Calibri" w:hAnsi="Calibri" w:cs="Calibri"/>
          <w:color w:val="000000"/>
        </w:rPr>
        <w:t>Experienced Provider - limit increases to 9 children</w:t>
      </w:r>
    </w:p>
    <w:p w14:paraId="16406297" w14:textId="77777777" w:rsidR="00716A46" w:rsidRDefault="00716A46" w:rsidP="00716A46">
      <w:pPr>
        <w:pStyle w:val="NormalWeb"/>
        <w:numPr>
          <w:ilvl w:val="1"/>
          <w:numId w:val="2"/>
        </w:numPr>
        <w:rPr>
          <w:rFonts w:ascii="Calibri" w:hAnsi="Calibri" w:cs="Calibri"/>
          <w:color w:val="000000"/>
        </w:rPr>
      </w:pPr>
      <w:r w:rsidRPr="00716A46">
        <w:rPr>
          <w:rFonts w:ascii="Calibri" w:hAnsi="Calibri" w:cs="Calibri"/>
          <w:color w:val="000000"/>
        </w:rPr>
        <w:t>Large Home Providers - limit increases to 12 children and requires 2 teachers/providers</w:t>
      </w:r>
    </w:p>
    <w:p w14:paraId="234DC4FE" w14:textId="159CC44D" w:rsidR="00716A46" w:rsidRPr="00716A46" w:rsidRDefault="00716A46" w:rsidP="00716A46">
      <w:pPr>
        <w:pStyle w:val="NormalWeb"/>
        <w:numPr>
          <w:ilvl w:val="0"/>
          <w:numId w:val="2"/>
        </w:numPr>
        <w:rPr>
          <w:rFonts w:ascii="Calibri" w:hAnsi="Calibri" w:cs="Calibri"/>
          <w:color w:val="000000"/>
        </w:rPr>
      </w:pPr>
      <w:r>
        <w:rPr>
          <w:rFonts w:ascii="Calibri" w:hAnsi="Calibri" w:cs="Calibri"/>
          <w:color w:val="000000"/>
        </w:rPr>
        <w:t xml:space="preserve">Family, Friends, and Neighbors (Informal care providers) </w:t>
      </w:r>
      <w:r w:rsidRPr="00716A46">
        <w:rPr>
          <w:rFonts w:ascii="Calibri" w:hAnsi="Calibri" w:cs="Calibri"/>
          <w:color w:val="000000"/>
        </w:rPr>
        <w:t>- Unlicensed care; cannot exceed more than 4 children of different families, can have as many direct family members as space allows. </w:t>
      </w:r>
    </w:p>
    <w:p w14:paraId="2335A0AF" w14:textId="77777777" w:rsidR="00716A46" w:rsidRDefault="00716A46" w:rsidP="006F3B81">
      <w:pPr>
        <w:rPr>
          <w:b/>
        </w:rPr>
      </w:pPr>
    </w:p>
    <w:p w14:paraId="30CC32A8" w14:textId="77777777" w:rsidR="006F3B81" w:rsidRDefault="006F3B81" w:rsidP="006F3B81">
      <w:pPr>
        <w:rPr>
          <w:b/>
        </w:rPr>
      </w:pPr>
    </w:p>
    <w:p w14:paraId="5815953B" w14:textId="77777777" w:rsidR="006F3B81" w:rsidRDefault="006F3B81" w:rsidP="00EE0B26">
      <w:pPr>
        <w:shd w:val="clear" w:color="auto" w:fill="BFBFBF" w:themeFill="background1" w:themeFillShade="BF"/>
      </w:pPr>
      <w:r>
        <w:rPr>
          <w:b/>
        </w:rPr>
        <w:t xml:space="preserve">Act </w:t>
      </w:r>
      <w:proofErr w:type="gramStart"/>
      <w:r>
        <w:rPr>
          <w:b/>
        </w:rPr>
        <w:t xml:space="preserve">–  </w:t>
      </w:r>
      <w:r>
        <w:t>Create</w:t>
      </w:r>
      <w:proofErr w:type="gramEnd"/>
      <w:r>
        <w:t xml:space="preserve"> concrete plans that are clear on what actions will happen, who will do them, and when they happen.  Plan just enough to get started, think in terms of the next 30-60-90 days.</w:t>
      </w:r>
    </w:p>
    <w:p w14:paraId="4F0AD14C" w14:textId="77777777" w:rsidR="006F3B81" w:rsidRDefault="006F3B81" w:rsidP="006F3B81">
      <w:r>
        <w:t xml:space="preserve"> </w:t>
      </w:r>
    </w:p>
    <w:p w14:paraId="6D0C3AC8" w14:textId="77777777" w:rsidR="006F3B81" w:rsidRPr="000932F5" w:rsidRDefault="006F3B81" w:rsidP="006F3B81">
      <w:pPr>
        <w:rPr>
          <w:b/>
        </w:rPr>
      </w:pPr>
      <w:r w:rsidRPr="000932F5">
        <w:rPr>
          <w:b/>
        </w:rPr>
        <w:t>Primary Strategy or Strategies:</w:t>
      </w:r>
    </w:p>
    <w:p w14:paraId="750AAF12" w14:textId="77777777" w:rsidR="006F3B81" w:rsidRDefault="006F3B81" w:rsidP="006F3B81">
      <w:pPr>
        <w:rPr>
          <w:b/>
        </w:rPr>
      </w:pPr>
    </w:p>
    <w:tbl>
      <w:tblPr>
        <w:tblStyle w:val="TableGrid"/>
        <w:tblW w:w="0" w:type="auto"/>
        <w:tblInd w:w="-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212"/>
        <w:gridCol w:w="1800"/>
        <w:gridCol w:w="1620"/>
      </w:tblGrid>
      <w:tr w:rsidR="006F3B81" w14:paraId="38429385" w14:textId="77777777" w:rsidTr="00C9249A">
        <w:tc>
          <w:tcPr>
            <w:tcW w:w="6212" w:type="dxa"/>
            <w:shd w:val="clear" w:color="auto" w:fill="D9D9D9" w:themeFill="background1" w:themeFillShade="D9"/>
          </w:tcPr>
          <w:p w14:paraId="35EB3F26" w14:textId="77777777" w:rsidR="006F3B81" w:rsidRPr="00782DA0" w:rsidRDefault="006F3B81" w:rsidP="00C9249A">
            <w:pPr>
              <w:jc w:val="center"/>
              <w:rPr>
                <w:b/>
                <w:highlight w:val="lightGray"/>
              </w:rPr>
            </w:pPr>
            <w:r w:rsidRPr="00782DA0">
              <w:rPr>
                <w:b/>
                <w:highlight w:val="lightGray"/>
              </w:rPr>
              <w:t>What Will You Do?</w:t>
            </w:r>
          </w:p>
        </w:tc>
        <w:tc>
          <w:tcPr>
            <w:tcW w:w="1800" w:type="dxa"/>
            <w:shd w:val="clear" w:color="auto" w:fill="D9D9D9" w:themeFill="background1" w:themeFillShade="D9"/>
          </w:tcPr>
          <w:p w14:paraId="1CE272B1" w14:textId="77777777" w:rsidR="006F3B81" w:rsidRPr="00782DA0" w:rsidRDefault="006F3B81" w:rsidP="00C9249A">
            <w:pPr>
              <w:jc w:val="center"/>
              <w:rPr>
                <w:b/>
                <w:highlight w:val="lightGray"/>
              </w:rPr>
            </w:pPr>
            <w:r w:rsidRPr="00782DA0">
              <w:rPr>
                <w:b/>
                <w:highlight w:val="lightGray"/>
              </w:rPr>
              <w:t>Who Will Do It?</w:t>
            </w:r>
          </w:p>
        </w:tc>
        <w:tc>
          <w:tcPr>
            <w:tcW w:w="1620" w:type="dxa"/>
            <w:shd w:val="clear" w:color="auto" w:fill="D9D9D9" w:themeFill="background1" w:themeFillShade="D9"/>
          </w:tcPr>
          <w:p w14:paraId="3656BAA1" w14:textId="77777777" w:rsidR="006F3B81" w:rsidRPr="00782DA0" w:rsidRDefault="006F3B81" w:rsidP="00C9249A">
            <w:pPr>
              <w:jc w:val="center"/>
              <w:rPr>
                <w:b/>
                <w:highlight w:val="lightGray"/>
              </w:rPr>
            </w:pPr>
            <w:r w:rsidRPr="00782DA0">
              <w:rPr>
                <w:b/>
                <w:highlight w:val="lightGray"/>
              </w:rPr>
              <w:t>By When?</w:t>
            </w:r>
          </w:p>
        </w:tc>
      </w:tr>
      <w:tr w:rsidR="006F3B81" w14:paraId="1BBD0FAF" w14:textId="77777777" w:rsidTr="00C9249A">
        <w:tc>
          <w:tcPr>
            <w:tcW w:w="6212" w:type="dxa"/>
          </w:tcPr>
          <w:p w14:paraId="6D2237C5" w14:textId="49362FB3" w:rsidR="006F3B81" w:rsidRDefault="00935C72" w:rsidP="00C9249A">
            <w:pPr>
              <w:rPr>
                <w:b/>
              </w:rPr>
            </w:pPr>
            <w:r>
              <w:rPr>
                <w:b/>
              </w:rPr>
              <w:t>Pull existing revenue/cost models + start-up costs</w:t>
            </w:r>
          </w:p>
          <w:p w14:paraId="54C27454" w14:textId="77777777" w:rsidR="006F3B81" w:rsidRDefault="006F3B81" w:rsidP="00C9249A">
            <w:pPr>
              <w:rPr>
                <w:b/>
              </w:rPr>
            </w:pPr>
          </w:p>
        </w:tc>
        <w:tc>
          <w:tcPr>
            <w:tcW w:w="1800" w:type="dxa"/>
          </w:tcPr>
          <w:p w14:paraId="44F84E37" w14:textId="77777777" w:rsidR="006F3B81" w:rsidRDefault="00935C72" w:rsidP="00C9249A">
            <w:pPr>
              <w:rPr>
                <w:b/>
              </w:rPr>
            </w:pPr>
            <w:r>
              <w:rPr>
                <w:b/>
              </w:rPr>
              <w:t>Michelle</w:t>
            </w:r>
          </w:p>
          <w:p w14:paraId="42F5ACC8" w14:textId="31A6A772" w:rsidR="00935C72" w:rsidRDefault="00935C72" w:rsidP="00C9249A">
            <w:pPr>
              <w:rPr>
                <w:b/>
              </w:rPr>
            </w:pPr>
          </w:p>
        </w:tc>
        <w:tc>
          <w:tcPr>
            <w:tcW w:w="1620" w:type="dxa"/>
          </w:tcPr>
          <w:p w14:paraId="65F24E91" w14:textId="55F7F1E2" w:rsidR="006F3B81" w:rsidRDefault="00935C72" w:rsidP="00C9249A">
            <w:pPr>
              <w:rPr>
                <w:b/>
              </w:rPr>
            </w:pPr>
            <w:r>
              <w:rPr>
                <w:b/>
              </w:rPr>
              <w:t>4/2</w:t>
            </w:r>
          </w:p>
        </w:tc>
      </w:tr>
      <w:tr w:rsidR="006F3B81" w14:paraId="7753A2CD" w14:textId="77777777" w:rsidTr="00C9249A">
        <w:tc>
          <w:tcPr>
            <w:tcW w:w="6212" w:type="dxa"/>
          </w:tcPr>
          <w:p w14:paraId="3F0F5B7B" w14:textId="607DE284" w:rsidR="006F3B81" w:rsidRDefault="00935C72" w:rsidP="00C9249A">
            <w:pPr>
              <w:rPr>
                <w:b/>
              </w:rPr>
            </w:pPr>
            <w:r>
              <w:rPr>
                <w:b/>
              </w:rPr>
              <w:t>Identify existing public/private dollars to support revenue model + potential new revenue sources</w:t>
            </w:r>
          </w:p>
          <w:p w14:paraId="4B354C48" w14:textId="77777777" w:rsidR="006F3B81" w:rsidRDefault="006F3B81" w:rsidP="00C9249A">
            <w:pPr>
              <w:rPr>
                <w:b/>
              </w:rPr>
            </w:pPr>
          </w:p>
        </w:tc>
        <w:tc>
          <w:tcPr>
            <w:tcW w:w="1800" w:type="dxa"/>
          </w:tcPr>
          <w:p w14:paraId="56BC54C0" w14:textId="62C216E9" w:rsidR="006F3B81" w:rsidRDefault="0061006E" w:rsidP="00C9249A">
            <w:pPr>
              <w:rPr>
                <w:b/>
              </w:rPr>
            </w:pPr>
            <w:r>
              <w:rPr>
                <w:b/>
              </w:rPr>
              <w:t>TBD</w:t>
            </w:r>
          </w:p>
        </w:tc>
        <w:tc>
          <w:tcPr>
            <w:tcW w:w="1620" w:type="dxa"/>
          </w:tcPr>
          <w:p w14:paraId="120C277D" w14:textId="77777777" w:rsidR="006F3B81" w:rsidRDefault="006F3B81" w:rsidP="00C9249A">
            <w:pPr>
              <w:rPr>
                <w:b/>
              </w:rPr>
            </w:pPr>
          </w:p>
        </w:tc>
      </w:tr>
      <w:tr w:rsidR="006F3B81" w14:paraId="20E38A4E" w14:textId="77777777" w:rsidTr="00C9249A">
        <w:tc>
          <w:tcPr>
            <w:tcW w:w="6212" w:type="dxa"/>
          </w:tcPr>
          <w:p w14:paraId="5E997BBF" w14:textId="4AD093B7" w:rsidR="006F3B81" w:rsidRDefault="00935C72" w:rsidP="00C9249A">
            <w:pPr>
              <w:rPr>
                <w:b/>
              </w:rPr>
            </w:pPr>
            <w:r>
              <w:rPr>
                <w:b/>
              </w:rPr>
              <w:lastRenderedPageBreak/>
              <w:t>Collect info on care providers who have gone under:  type, where, why</w:t>
            </w:r>
          </w:p>
          <w:p w14:paraId="412D302B" w14:textId="77777777" w:rsidR="006F3B81" w:rsidRDefault="006F3B81" w:rsidP="00C9249A">
            <w:pPr>
              <w:rPr>
                <w:b/>
              </w:rPr>
            </w:pPr>
          </w:p>
        </w:tc>
        <w:tc>
          <w:tcPr>
            <w:tcW w:w="1800" w:type="dxa"/>
          </w:tcPr>
          <w:p w14:paraId="77A64B6B" w14:textId="77777777" w:rsidR="006F3B81" w:rsidRDefault="00935C72" w:rsidP="00C9249A">
            <w:pPr>
              <w:rPr>
                <w:b/>
              </w:rPr>
            </w:pPr>
            <w:r>
              <w:rPr>
                <w:b/>
              </w:rPr>
              <w:t>Sharon</w:t>
            </w:r>
          </w:p>
          <w:p w14:paraId="7D9DBD08" w14:textId="6F54FB78" w:rsidR="00935C72" w:rsidRDefault="00935C72" w:rsidP="00C9249A">
            <w:pPr>
              <w:rPr>
                <w:b/>
              </w:rPr>
            </w:pPr>
            <w:r>
              <w:rPr>
                <w:b/>
              </w:rPr>
              <w:t>Michelle</w:t>
            </w:r>
          </w:p>
        </w:tc>
        <w:tc>
          <w:tcPr>
            <w:tcW w:w="1620" w:type="dxa"/>
          </w:tcPr>
          <w:p w14:paraId="2769CCD3" w14:textId="67C101A4" w:rsidR="006F3B81" w:rsidRDefault="00935C72" w:rsidP="00C9249A">
            <w:pPr>
              <w:rPr>
                <w:b/>
              </w:rPr>
            </w:pPr>
            <w:r>
              <w:rPr>
                <w:b/>
              </w:rPr>
              <w:t>4/2</w:t>
            </w:r>
          </w:p>
        </w:tc>
      </w:tr>
      <w:tr w:rsidR="006F3B81" w14:paraId="66696A60" w14:textId="77777777" w:rsidTr="00C9249A">
        <w:tc>
          <w:tcPr>
            <w:tcW w:w="6212" w:type="dxa"/>
          </w:tcPr>
          <w:p w14:paraId="543D8908" w14:textId="4E501FA1" w:rsidR="006F3B81" w:rsidRDefault="00935C72" w:rsidP="00C9249A">
            <w:pPr>
              <w:rPr>
                <w:b/>
              </w:rPr>
            </w:pPr>
            <w:r>
              <w:rPr>
                <w:b/>
              </w:rPr>
              <w:t>Send info on which employers are investing in child care:  how, where</w:t>
            </w:r>
          </w:p>
          <w:p w14:paraId="57BEE8AC" w14:textId="77777777" w:rsidR="006F3B81" w:rsidRDefault="006F3B81" w:rsidP="00C9249A">
            <w:pPr>
              <w:rPr>
                <w:b/>
              </w:rPr>
            </w:pPr>
          </w:p>
        </w:tc>
        <w:tc>
          <w:tcPr>
            <w:tcW w:w="1800" w:type="dxa"/>
          </w:tcPr>
          <w:p w14:paraId="51F0F67C" w14:textId="61960C51" w:rsidR="006F3B81" w:rsidRDefault="00935C72" w:rsidP="00C9249A">
            <w:pPr>
              <w:rPr>
                <w:b/>
              </w:rPr>
            </w:pPr>
            <w:r>
              <w:rPr>
                <w:b/>
              </w:rPr>
              <w:t>David</w:t>
            </w:r>
          </w:p>
        </w:tc>
        <w:tc>
          <w:tcPr>
            <w:tcW w:w="1620" w:type="dxa"/>
          </w:tcPr>
          <w:p w14:paraId="242CD162" w14:textId="2F00C121" w:rsidR="006F3B81" w:rsidRDefault="00935C72" w:rsidP="00C9249A">
            <w:pPr>
              <w:rPr>
                <w:b/>
              </w:rPr>
            </w:pPr>
            <w:r>
              <w:rPr>
                <w:b/>
              </w:rPr>
              <w:t>4/2</w:t>
            </w:r>
          </w:p>
        </w:tc>
      </w:tr>
      <w:tr w:rsidR="006F3B81" w14:paraId="497783AE" w14:textId="77777777" w:rsidTr="00C9249A">
        <w:tc>
          <w:tcPr>
            <w:tcW w:w="6212" w:type="dxa"/>
          </w:tcPr>
          <w:p w14:paraId="7522D38B" w14:textId="3EBA65B3" w:rsidR="006F3B81" w:rsidRDefault="0061006E" w:rsidP="00C9249A">
            <w:pPr>
              <w:rPr>
                <w:b/>
              </w:rPr>
            </w:pPr>
            <w:r>
              <w:rPr>
                <w:b/>
              </w:rPr>
              <w:t>Build business mentoring model</w:t>
            </w:r>
          </w:p>
          <w:p w14:paraId="541A6033" w14:textId="77777777" w:rsidR="006F3B81" w:rsidRDefault="006F3B81" w:rsidP="00C9249A">
            <w:pPr>
              <w:rPr>
                <w:b/>
              </w:rPr>
            </w:pPr>
          </w:p>
        </w:tc>
        <w:tc>
          <w:tcPr>
            <w:tcW w:w="1800" w:type="dxa"/>
          </w:tcPr>
          <w:p w14:paraId="12E9632A" w14:textId="47D35D58" w:rsidR="006F3B81" w:rsidRDefault="0061006E" w:rsidP="00C9249A">
            <w:pPr>
              <w:rPr>
                <w:b/>
              </w:rPr>
            </w:pPr>
            <w:r>
              <w:rPr>
                <w:b/>
              </w:rPr>
              <w:t>TBD</w:t>
            </w:r>
          </w:p>
        </w:tc>
        <w:tc>
          <w:tcPr>
            <w:tcW w:w="1620" w:type="dxa"/>
          </w:tcPr>
          <w:p w14:paraId="1E8E058C" w14:textId="77777777" w:rsidR="006F3B81" w:rsidRDefault="006F3B81" w:rsidP="00C9249A">
            <w:pPr>
              <w:rPr>
                <w:b/>
              </w:rPr>
            </w:pPr>
          </w:p>
        </w:tc>
      </w:tr>
      <w:tr w:rsidR="006F3B81" w14:paraId="6C1F2831" w14:textId="77777777" w:rsidTr="00C9249A">
        <w:tc>
          <w:tcPr>
            <w:tcW w:w="6212" w:type="dxa"/>
          </w:tcPr>
          <w:p w14:paraId="0903906B" w14:textId="5327EDC0" w:rsidR="006F3B81" w:rsidRDefault="0061006E" w:rsidP="00C9249A">
            <w:pPr>
              <w:rPr>
                <w:b/>
              </w:rPr>
            </w:pPr>
            <w:r>
              <w:rPr>
                <w:b/>
              </w:rPr>
              <w:t xml:space="preserve">Explore options to expand ELV and/or Arapahoe </w:t>
            </w:r>
            <w:proofErr w:type="spellStart"/>
            <w:r>
              <w:rPr>
                <w:b/>
              </w:rPr>
              <w:t>Cty</w:t>
            </w:r>
            <w:proofErr w:type="spellEnd"/>
            <w:r>
              <w:rPr>
                <w:b/>
              </w:rPr>
              <w:t xml:space="preserve"> business services models</w:t>
            </w:r>
          </w:p>
          <w:p w14:paraId="68C8030E" w14:textId="77777777" w:rsidR="006F3B81" w:rsidRDefault="006F3B81" w:rsidP="00C9249A">
            <w:pPr>
              <w:rPr>
                <w:b/>
              </w:rPr>
            </w:pPr>
          </w:p>
        </w:tc>
        <w:tc>
          <w:tcPr>
            <w:tcW w:w="1800" w:type="dxa"/>
          </w:tcPr>
          <w:p w14:paraId="5C2A140A" w14:textId="3551255A" w:rsidR="006F3B81" w:rsidRDefault="0061006E" w:rsidP="00C9249A">
            <w:pPr>
              <w:rPr>
                <w:b/>
              </w:rPr>
            </w:pPr>
            <w:r>
              <w:rPr>
                <w:b/>
              </w:rPr>
              <w:t>TBD</w:t>
            </w:r>
          </w:p>
        </w:tc>
        <w:tc>
          <w:tcPr>
            <w:tcW w:w="1620" w:type="dxa"/>
          </w:tcPr>
          <w:p w14:paraId="554FA94F" w14:textId="77777777" w:rsidR="006F3B81" w:rsidRDefault="006F3B81" w:rsidP="00C9249A">
            <w:pPr>
              <w:rPr>
                <w:b/>
              </w:rPr>
            </w:pPr>
          </w:p>
        </w:tc>
      </w:tr>
      <w:tr w:rsidR="006F3B81" w14:paraId="69F619F7" w14:textId="77777777" w:rsidTr="00C9249A">
        <w:tc>
          <w:tcPr>
            <w:tcW w:w="6212" w:type="dxa"/>
          </w:tcPr>
          <w:p w14:paraId="0255E09B" w14:textId="311F5A80" w:rsidR="006F3B81" w:rsidRDefault="0061006E" w:rsidP="00C9249A">
            <w:pPr>
              <w:rPr>
                <w:b/>
              </w:rPr>
            </w:pPr>
            <w:r>
              <w:rPr>
                <w:b/>
              </w:rPr>
              <w:t>Expand colleges (and others) ECE education offerings to include business education and support</w:t>
            </w:r>
          </w:p>
          <w:p w14:paraId="33965714" w14:textId="77777777" w:rsidR="006F3B81" w:rsidRDefault="006F3B81" w:rsidP="00C9249A">
            <w:pPr>
              <w:rPr>
                <w:b/>
              </w:rPr>
            </w:pPr>
          </w:p>
        </w:tc>
        <w:tc>
          <w:tcPr>
            <w:tcW w:w="1800" w:type="dxa"/>
          </w:tcPr>
          <w:p w14:paraId="299759A9" w14:textId="69F9AB31" w:rsidR="006F3B81" w:rsidRDefault="0061006E" w:rsidP="00C9249A">
            <w:pPr>
              <w:rPr>
                <w:b/>
              </w:rPr>
            </w:pPr>
            <w:r>
              <w:rPr>
                <w:b/>
              </w:rPr>
              <w:t>TBD</w:t>
            </w:r>
          </w:p>
        </w:tc>
        <w:tc>
          <w:tcPr>
            <w:tcW w:w="1620" w:type="dxa"/>
          </w:tcPr>
          <w:p w14:paraId="2E576623" w14:textId="77777777" w:rsidR="006F3B81" w:rsidRDefault="006F3B81" w:rsidP="00C9249A">
            <w:pPr>
              <w:rPr>
                <w:b/>
              </w:rPr>
            </w:pPr>
          </w:p>
        </w:tc>
      </w:tr>
    </w:tbl>
    <w:p w14:paraId="5BE70690" w14:textId="48F3A18C" w:rsidR="006F3B81" w:rsidRDefault="006F3B81" w:rsidP="006F3B81">
      <w:pPr>
        <w:rPr>
          <w:b/>
        </w:rPr>
      </w:pPr>
    </w:p>
    <w:p w14:paraId="4F5648FD" w14:textId="1CBFCD3A" w:rsidR="00BC3A4C" w:rsidRDefault="00BC3A4C" w:rsidP="00BC3A4C">
      <w:pPr>
        <w:ind w:left="360"/>
        <w:rPr>
          <w:b/>
        </w:rPr>
      </w:pPr>
    </w:p>
    <w:p w14:paraId="0BC1EF1E" w14:textId="77777777" w:rsidR="006F3B81" w:rsidRDefault="006F3B81" w:rsidP="00EE0B26">
      <w:pPr>
        <w:shd w:val="clear" w:color="auto" w:fill="BFBFBF" w:themeFill="background1" w:themeFillShade="BF"/>
        <w:rPr>
          <w:b/>
        </w:rPr>
      </w:pPr>
      <w:r>
        <w:rPr>
          <w:b/>
        </w:rPr>
        <w:t xml:space="preserve">Learn – </w:t>
      </w:r>
      <w:r>
        <w:t>Set benchmarks and use performance measures to assess the impact and quality of actions; learn from experiences and translate that information into more effective actions.</w:t>
      </w:r>
      <w:r>
        <w:rPr>
          <w:b/>
        </w:rPr>
        <w:t xml:space="preserve"> </w:t>
      </w:r>
    </w:p>
    <w:p w14:paraId="29FF0633" w14:textId="77777777" w:rsidR="006F3B81" w:rsidRDefault="006F3B81" w:rsidP="006F3B81">
      <w:pPr>
        <w:rPr>
          <w:b/>
        </w:rPr>
      </w:pPr>
    </w:p>
    <w:p w14:paraId="03C0465F" w14:textId="0C77E239" w:rsidR="006F3B81" w:rsidRDefault="006F3B81" w:rsidP="006F3B81">
      <w:r w:rsidRPr="00FE7CBE">
        <w:t>How will we know if we are making progress toward achieving the results we seek? What will success look like in the short and long term?</w:t>
      </w:r>
      <w:r w:rsidRPr="009A130D">
        <w:t xml:space="preserve"> </w:t>
      </w:r>
      <w:r>
        <w:t>Consider questions like “How much? How well? And is anyone better off?”</w:t>
      </w:r>
    </w:p>
    <w:p w14:paraId="6E2E67C4" w14:textId="77777777" w:rsidR="006F3B81" w:rsidRPr="009A130D" w:rsidRDefault="006F3B81" w:rsidP="006F3B81"/>
    <w:p w14:paraId="35AE320C" w14:textId="69072619" w:rsidR="006F3B81" w:rsidRDefault="00EE0B26" w:rsidP="006F3B81">
      <w:r>
        <w:rPr>
          <w:b/>
        </w:rPr>
        <w:t xml:space="preserve">Child care facilities that have gone under – </w:t>
      </w:r>
      <w:r>
        <w:t>find out which type of facilities/providers, where, why</w:t>
      </w:r>
    </w:p>
    <w:p w14:paraId="524D76CE" w14:textId="77777777" w:rsidR="001F2148" w:rsidRDefault="001F2148" w:rsidP="006F3B81"/>
    <w:p w14:paraId="2B4E80E2" w14:textId="1E99B517" w:rsidR="00EE0B26" w:rsidRDefault="00EE0B26" w:rsidP="006F3B81">
      <w:r w:rsidRPr="00EE0B26">
        <w:rPr>
          <w:b/>
        </w:rPr>
        <w:t>Revenue/cost model for child care</w:t>
      </w:r>
      <w:r>
        <w:t xml:space="preserve"> – goal is to help investors and potential business owners understand start-up and ongoing costs for successful models</w:t>
      </w:r>
    </w:p>
    <w:p w14:paraId="09C4EE1A" w14:textId="62EF1E81" w:rsidR="00EE0B26" w:rsidRDefault="00EE0B26" w:rsidP="006F3B81"/>
    <w:p w14:paraId="0A722A83" w14:textId="3DB79F79" w:rsidR="00EE0B26" w:rsidRDefault="00EE0B26" w:rsidP="006F3B81">
      <w:r>
        <w:rPr>
          <w:b/>
        </w:rPr>
        <w:t xml:space="preserve">Employers </w:t>
      </w:r>
      <w:r w:rsidRPr="00EE0B26">
        <w:rPr>
          <w:b/>
        </w:rPr>
        <w:t>investing in child care</w:t>
      </w:r>
      <w:r>
        <w:t xml:space="preserve"> – which ones, how and where</w:t>
      </w:r>
    </w:p>
    <w:p w14:paraId="7CFAAB78" w14:textId="77777777" w:rsidR="00EE0B26" w:rsidRPr="00EE0B26" w:rsidRDefault="00EE0B26" w:rsidP="006F3B81"/>
    <w:tbl>
      <w:tblPr>
        <w:tblStyle w:val="TableGrid"/>
        <w:tblW w:w="0" w:type="auto"/>
        <w:tblInd w:w="-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212"/>
        <w:gridCol w:w="1800"/>
        <w:gridCol w:w="1620"/>
      </w:tblGrid>
      <w:tr w:rsidR="006F3B81" w:rsidRPr="00782DA0" w14:paraId="0EE29010" w14:textId="77777777" w:rsidTr="00C9249A">
        <w:tc>
          <w:tcPr>
            <w:tcW w:w="6212" w:type="dxa"/>
            <w:shd w:val="clear" w:color="auto" w:fill="D9D9D9" w:themeFill="background1" w:themeFillShade="D9"/>
          </w:tcPr>
          <w:p w14:paraId="76C2C8B4" w14:textId="77777777" w:rsidR="006F3B81" w:rsidRPr="00782DA0" w:rsidRDefault="006F3B81" w:rsidP="00C9249A">
            <w:pPr>
              <w:jc w:val="center"/>
              <w:rPr>
                <w:b/>
                <w:highlight w:val="lightGray"/>
              </w:rPr>
            </w:pPr>
            <w:r>
              <w:rPr>
                <w:b/>
                <w:highlight w:val="lightGray"/>
              </w:rPr>
              <w:t>Performance Measure</w:t>
            </w:r>
          </w:p>
        </w:tc>
        <w:tc>
          <w:tcPr>
            <w:tcW w:w="1800" w:type="dxa"/>
            <w:shd w:val="clear" w:color="auto" w:fill="D9D9D9" w:themeFill="background1" w:themeFillShade="D9"/>
          </w:tcPr>
          <w:p w14:paraId="299A9322" w14:textId="77777777" w:rsidR="006F3B81" w:rsidRPr="00782DA0" w:rsidRDefault="006F3B81" w:rsidP="00C9249A">
            <w:pPr>
              <w:jc w:val="center"/>
              <w:rPr>
                <w:b/>
                <w:highlight w:val="lightGray"/>
              </w:rPr>
            </w:pPr>
            <w:r>
              <w:rPr>
                <w:b/>
                <w:highlight w:val="lightGray"/>
              </w:rPr>
              <w:t>Target</w:t>
            </w:r>
          </w:p>
        </w:tc>
        <w:tc>
          <w:tcPr>
            <w:tcW w:w="1620" w:type="dxa"/>
            <w:shd w:val="clear" w:color="auto" w:fill="D9D9D9" w:themeFill="background1" w:themeFillShade="D9"/>
          </w:tcPr>
          <w:p w14:paraId="2A0B4F01" w14:textId="77777777" w:rsidR="006F3B81" w:rsidRPr="00782DA0" w:rsidRDefault="006F3B81" w:rsidP="00C9249A">
            <w:pPr>
              <w:jc w:val="center"/>
              <w:rPr>
                <w:b/>
                <w:highlight w:val="lightGray"/>
              </w:rPr>
            </w:pPr>
            <w:r>
              <w:rPr>
                <w:b/>
                <w:highlight w:val="lightGray"/>
              </w:rPr>
              <w:t>Date</w:t>
            </w:r>
          </w:p>
        </w:tc>
      </w:tr>
      <w:tr w:rsidR="006F3B81" w14:paraId="7ED57905" w14:textId="77777777" w:rsidTr="00C9249A">
        <w:tc>
          <w:tcPr>
            <w:tcW w:w="6212" w:type="dxa"/>
          </w:tcPr>
          <w:p w14:paraId="24BD8038" w14:textId="560E2D23" w:rsidR="006F3B81" w:rsidRDefault="00935C72" w:rsidP="00C9249A">
            <w:pPr>
              <w:rPr>
                <w:b/>
              </w:rPr>
            </w:pPr>
            <w:r>
              <w:rPr>
                <w:b/>
              </w:rPr>
              <w:t>Identify/develop revenue and cost model for 3 types of care providers: 1) licensed home providers; 2) unlicensed informal care providers; 3) licensed centers with 4-75 kids</w:t>
            </w:r>
          </w:p>
          <w:p w14:paraId="14ECA5FC" w14:textId="77777777" w:rsidR="006F3B81" w:rsidRDefault="006F3B81" w:rsidP="00C9249A">
            <w:pPr>
              <w:rPr>
                <w:b/>
              </w:rPr>
            </w:pPr>
          </w:p>
        </w:tc>
        <w:tc>
          <w:tcPr>
            <w:tcW w:w="1800" w:type="dxa"/>
          </w:tcPr>
          <w:p w14:paraId="55A86C84" w14:textId="34C7B38A" w:rsidR="006F3B81" w:rsidRDefault="006F3B81" w:rsidP="00C9249A">
            <w:pPr>
              <w:rPr>
                <w:b/>
              </w:rPr>
            </w:pPr>
          </w:p>
        </w:tc>
        <w:tc>
          <w:tcPr>
            <w:tcW w:w="1620" w:type="dxa"/>
          </w:tcPr>
          <w:p w14:paraId="3957F818" w14:textId="03DB1115" w:rsidR="006F3B81" w:rsidRDefault="00935C72" w:rsidP="00C9249A">
            <w:pPr>
              <w:rPr>
                <w:b/>
              </w:rPr>
            </w:pPr>
            <w:r>
              <w:rPr>
                <w:b/>
              </w:rPr>
              <w:t>By June 11 meeting</w:t>
            </w:r>
          </w:p>
        </w:tc>
      </w:tr>
      <w:tr w:rsidR="006F3B81" w14:paraId="698CD706" w14:textId="77777777" w:rsidTr="00C9249A">
        <w:tc>
          <w:tcPr>
            <w:tcW w:w="6212" w:type="dxa"/>
          </w:tcPr>
          <w:p w14:paraId="721E1FBC" w14:textId="77777777" w:rsidR="006F3B81" w:rsidRDefault="006F3B81" w:rsidP="00935C72">
            <w:pPr>
              <w:rPr>
                <w:b/>
              </w:rPr>
            </w:pPr>
          </w:p>
        </w:tc>
        <w:tc>
          <w:tcPr>
            <w:tcW w:w="1800" w:type="dxa"/>
          </w:tcPr>
          <w:p w14:paraId="08B458F3" w14:textId="77777777" w:rsidR="006F3B81" w:rsidRDefault="006F3B81" w:rsidP="00C9249A">
            <w:pPr>
              <w:rPr>
                <w:b/>
              </w:rPr>
            </w:pPr>
          </w:p>
        </w:tc>
        <w:tc>
          <w:tcPr>
            <w:tcW w:w="1620" w:type="dxa"/>
          </w:tcPr>
          <w:p w14:paraId="09C51A41" w14:textId="77777777" w:rsidR="006F3B81" w:rsidRDefault="006F3B81" w:rsidP="00C9249A">
            <w:pPr>
              <w:rPr>
                <w:b/>
              </w:rPr>
            </w:pPr>
          </w:p>
        </w:tc>
      </w:tr>
      <w:tr w:rsidR="006F3B81" w14:paraId="33E1015D" w14:textId="77777777" w:rsidTr="00C9249A">
        <w:tc>
          <w:tcPr>
            <w:tcW w:w="6212" w:type="dxa"/>
          </w:tcPr>
          <w:p w14:paraId="5B21EFD9" w14:textId="79DD2E32" w:rsidR="006F3B81" w:rsidRDefault="006F3B81" w:rsidP="00C9249A">
            <w:pPr>
              <w:rPr>
                <w:b/>
              </w:rPr>
            </w:pPr>
          </w:p>
        </w:tc>
        <w:tc>
          <w:tcPr>
            <w:tcW w:w="1800" w:type="dxa"/>
          </w:tcPr>
          <w:p w14:paraId="3FFB3C89" w14:textId="77777777" w:rsidR="006F3B81" w:rsidRDefault="006F3B81" w:rsidP="00C9249A">
            <w:pPr>
              <w:rPr>
                <w:b/>
              </w:rPr>
            </w:pPr>
          </w:p>
          <w:p w14:paraId="244E3268" w14:textId="77777777" w:rsidR="006F3B81" w:rsidRDefault="006F3B81" w:rsidP="00C9249A">
            <w:pPr>
              <w:rPr>
                <w:b/>
              </w:rPr>
            </w:pPr>
          </w:p>
        </w:tc>
        <w:tc>
          <w:tcPr>
            <w:tcW w:w="1620" w:type="dxa"/>
          </w:tcPr>
          <w:p w14:paraId="66F08311" w14:textId="77777777" w:rsidR="006F3B81" w:rsidRDefault="006F3B81" w:rsidP="00C9249A">
            <w:pPr>
              <w:rPr>
                <w:b/>
              </w:rPr>
            </w:pPr>
          </w:p>
        </w:tc>
      </w:tr>
    </w:tbl>
    <w:p w14:paraId="0530E38B" w14:textId="3F960B2F" w:rsidR="00BC3A4C" w:rsidRDefault="00BC3A4C" w:rsidP="00BC3A4C">
      <w:pPr>
        <w:ind w:left="360"/>
        <w:rPr>
          <w:b/>
        </w:rPr>
      </w:pPr>
    </w:p>
    <w:p w14:paraId="7A37F30C" w14:textId="4F73FF8E" w:rsidR="00BC3A4C" w:rsidRDefault="00BC3A4C" w:rsidP="00BC3A4C">
      <w:pPr>
        <w:ind w:left="360"/>
        <w:rPr>
          <w:b/>
        </w:rPr>
      </w:pPr>
    </w:p>
    <w:p w14:paraId="5E99862F" w14:textId="3F968D72" w:rsidR="006F3B81" w:rsidRDefault="006F3B81" w:rsidP="00EE0B26">
      <w:pPr>
        <w:shd w:val="clear" w:color="auto" w:fill="BFBFBF" w:themeFill="background1" w:themeFillShade="BF"/>
        <w:rPr>
          <w:shd w:val="clear" w:color="auto" w:fill="FFFFFF" w:themeFill="background1"/>
        </w:rPr>
      </w:pPr>
      <w:r>
        <w:rPr>
          <w:b/>
        </w:rPr>
        <w:t>Culture of Collaboration</w:t>
      </w:r>
      <w:r>
        <w:t xml:space="preserve"> –</w:t>
      </w:r>
    </w:p>
    <w:p w14:paraId="14D63DF4" w14:textId="6DE3A2B1" w:rsidR="00935C72" w:rsidRPr="00935C72" w:rsidRDefault="00935C72" w:rsidP="00935C72">
      <w:pPr>
        <w:shd w:val="clear" w:color="auto" w:fill="BFBFBF" w:themeFill="background1" w:themeFillShade="BF"/>
        <w:rPr>
          <w:shd w:val="clear" w:color="auto" w:fill="FFFFFF" w:themeFill="background1"/>
        </w:rPr>
      </w:pPr>
      <w:r w:rsidRPr="000932F5">
        <w:rPr>
          <w:shd w:val="clear" w:color="auto" w:fill="FFFFFF" w:themeFill="background1"/>
        </w:rPr>
        <w:t>When and how will our team check in on our progress, learn from our</w:t>
      </w:r>
      <w:r w:rsidRPr="00935C72">
        <w:rPr>
          <w:shd w:val="clear" w:color="auto" w:fill="FFFFFF" w:themeFill="background1"/>
        </w:rPr>
        <w:t xml:space="preserve"> </w:t>
      </w:r>
      <w:r w:rsidRPr="000932F5">
        <w:rPr>
          <w:shd w:val="clear" w:color="auto" w:fill="FFFFFF" w:themeFill="background1"/>
        </w:rPr>
        <w:t>experiences, and adapt our actions accordingly? Set a date to meet nex</w:t>
      </w:r>
      <w:r>
        <w:rPr>
          <w:shd w:val="clear" w:color="auto" w:fill="FFFFFF" w:themeFill="background1"/>
        </w:rPr>
        <w:t>t, in person or by phone.</w:t>
      </w:r>
    </w:p>
    <w:p w14:paraId="7F9B59BA" w14:textId="77777777" w:rsidR="00716A46" w:rsidRDefault="00716A46" w:rsidP="00964456">
      <w:pPr>
        <w:spacing w:after="160" w:line="259" w:lineRule="auto"/>
      </w:pPr>
    </w:p>
    <w:p w14:paraId="439AD9DA" w14:textId="3A238468" w:rsidR="00EE0B26" w:rsidRDefault="00935C72" w:rsidP="00716A46">
      <w:r>
        <w:t>Revenue/cost models shared by:  4/2</w:t>
      </w:r>
      <w:bookmarkStart w:id="0" w:name="_GoBack"/>
      <w:bookmarkEnd w:id="0"/>
    </w:p>
    <w:p w14:paraId="6E2FEE23" w14:textId="17B54B8F" w:rsidR="00935C72" w:rsidRDefault="007F40A4" w:rsidP="00964456">
      <w:pPr>
        <w:spacing w:after="160" w:line="259" w:lineRule="auto"/>
      </w:pPr>
      <w:r>
        <w:t>Group reconvenes:  4/10 at 9:30</w:t>
      </w:r>
      <w:r w:rsidR="00935C72">
        <w:t xml:space="preserve"> am</w:t>
      </w:r>
    </w:p>
    <w:sectPr w:rsidR="00935C72" w:rsidSect="00831582">
      <w:type w:val="continuous"/>
      <w:pgSz w:w="12240" w:h="15840"/>
      <w:pgMar w:top="810" w:right="1440" w:bottom="11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71673"/>
    <w:multiLevelType w:val="hybridMultilevel"/>
    <w:tmpl w:val="DA52FC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3E7599"/>
    <w:multiLevelType w:val="hybridMultilevel"/>
    <w:tmpl w:val="A4F8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7D9"/>
    <w:rsid w:val="00054619"/>
    <w:rsid w:val="000932F5"/>
    <w:rsid w:val="001F2148"/>
    <w:rsid w:val="004273A2"/>
    <w:rsid w:val="005871C7"/>
    <w:rsid w:val="005A326C"/>
    <w:rsid w:val="0061006E"/>
    <w:rsid w:val="006F3B81"/>
    <w:rsid w:val="00716A46"/>
    <w:rsid w:val="007F40A4"/>
    <w:rsid w:val="00831582"/>
    <w:rsid w:val="008A27D9"/>
    <w:rsid w:val="00935C72"/>
    <w:rsid w:val="00964456"/>
    <w:rsid w:val="0098480E"/>
    <w:rsid w:val="009B656A"/>
    <w:rsid w:val="00A44851"/>
    <w:rsid w:val="00A652E4"/>
    <w:rsid w:val="00B11F2A"/>
    <w:rsid w:val="00BC3A4C"/>
    <w:rsid w:val="00C10932"/>
    <w:rsid w:val="00CB0243"/>
    <w:rsid w:val="00EE0B26"/>
    <w:rsid w:val="00FE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28F4"/>
  <w15:chartTrackingRefBased/>
  <w15:docId w15:val="{F5613A9A-9566-45EF-8E69-F3C17E27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7D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nopyHighlightedStyle">
    <w:name w:val="Canopy Highlighted Style"/>
    <w:basedOn w:val="Normal"/>
    <w:link w:val="CanopyHighlightedStyleChar"/>
    <w:qFormat/>
    <w:rsid w:val="005871C7"/>
    <w:pPr>
      <w:shd w:val="clear" w:color="auto" w:fill="92B7BB"/>
      <w:jc w:val="both"/>
    </w:pPr>
    <w:rPr>
      <w:b/>
      <w:color w:val="FFFFFF" w:themeColor="background1"/>
    </w:rPr>
  </w:style>
  <w:style w:type="character" w:customStyle="1" w:styleId="CanopyHighlightedStyleChar">
    <w:name w:val="Canopy Highlighted Style Char"/>
    <w:basedOn w:val="DefaultParagraphFont"/>
    <w:link w:val="CanopyHighlightedStyle"/>
    <w:rsid w:val="005871C7"/>
    <w:rPr>
      <w:b/>
      <w:color w:val="FFFFFF" w:themeColor="background1"/>
      <w:sz w:val="24"/>
      <w:szCs w:val="24"/>
      <w:shd w:val="clear" w:color="auto" w:fill="92B7BB"/>
    </w:rPr>
  </w:style>
  <w:style w:type="paragraph" w:styleId="ListParagraph">
    <w:name w:val="List Paragraph"/>
    <w:basedOn w:val="Normal"/>
    <w:uiPriority w:val="34"/>
    <w:qFormat/>
    <w:rsid w:val="008A27D9"/>
    <w:pPr>
      <w:ind w:left="720"/>
      <w:contextualSpacing/>
    </w:pPr>
  </w:style>
  <w:style w:type="table" w:styleId="TableGrid">
    <w:name w:val="Table Grid"/>
    <w:basedOn w:val="TableNormal"/>
    <w:uiPriority w:val="39"/>
    <w:rsid w:val="000932F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16A46"/>
    <w:rPr>
      <w:rFonts w:ascii="Times New Roman" w:hAnsi="Times New Roman" w:cs="Times New Roman"/>
    </w:rPr>
  </w:style>
  <w:style w:type="paragraph" w:styleId="BalloonText">
    <w:name w:val="Balloon Text"/>
    <w:basedOn w:val="Normal"/>
    <w:link w:val="BalloonTextChar"/>
    <w:uiPriority w:val="99"/>
    <w:semiHidden/>
    <w:unhideWhenUsed/>
    <w:rsid w:val="00716A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96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AEEE4C442D23B4AB9A4F36B20628C0F" ma:contentTypeVersion="7" ma:contentTypeDescription="Create a new document." ma:contentTypeScope="" ma:versionID="05732716df69229e37c0abeb1bbc1a7f">
  <xsd:schema xmlns:xsd="http://www.w3.org/2001/XMLSchema" xmlns:xs="http://www.w3.org/2001/XMLSchema" xmlns:p="http://schemas.microsoft.com/office/2006/metadata/properties" xmlns:ns2="0e5ea4b3-e6a5-4854-b8c8-91e7a5b68632" xmlns:ns3="90fb7a57-d36e-4c1e-a798-656176998d46" targetNamespace="http://schemas.microsoft.com/office/2006/metadata/properties" ma:root="true" ma:fieldsID="699c3d9653abe849770be912ca32423d" ns2:_="" ns3:_="">
    <xsd:import namespace="0e5ea4b3-e6a5-4854-b8c8-91e7a5b68632"/>
    <xsd:import namespace="90fb7a57-d36e-4c1e-a798-656176998d46"/>
    <xsd:element name="properties">
      <xsd:complexType>
        <xsd:sequence>
          <xsd:element name="documentManagement">
            <xsd:complexType>
              <xsd:all>
                <xsd:element ref="ns2:SharedWithUsers" minOccurs="0"/>
                <xsd:element ref="ns2:SharingHintHash"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ea4b3-e6a5-4854-b8c8-91e7a5b686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fb7a57-d36e-4c1e-a798-656176998d4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e5ea4b3-e6a5-4854-b8c8-91e7a5b68632">V634YEW6DXCK-954087554-21252</_dlc_DocId>
    <_dlc_DocIdUrl xmlns="0e5ea4b3-e6a5-4854-b8c8-91e7a5b68632">
      <Url>https://theciviccanopy.sharepoint.com/_layouts/15/DocIdRedir.aspx?ID=V634YEW6DXCK-954087554-21252</Url>
      <Description>V634YEW6DXCK-954087554-21252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57DD6A-A229-44A7-B84C-8F7E902DE488}">
  <ds:schemaRefs>
    <ds:schemaRef ds:uri="http://schemas.microsoft.com/sharepoint/events"/>
  </ds:schemaRefs>
</ds:datastoreItem>
</file>

<file path=customXml/itemProps2.xml><?xml version="1.0" encoding="utf-8"?>
<ds:datastoreItem xmlns:ds="http://schemas.openxmlformats.org/officeDocument/2006/customXml" ds:itemID="{13C0406D-0E40-4E8F-B674-922066012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ea4b3-e6a5-4854-b8c8-91e7a5b68632"/>
    <ds:schemaRef ds:uri="90fb7a57-d36e-4c1e-a798-656176998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D25166-3537-4104-AC3F-BA61084760AF}">
  <ds:schemaRefs>
    <ds:schemaRef ds:uri="0e5ea4b3-e6a5-4854-b8c8-91e7a5b6863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0fb7a57-d36e-4c1e-a798-656176998d46"/>
    <ds:schemaRef ds:uri="http://www.w3.org/XML/1998/namespace"/>
  </ds:schemaRefs>
</ds:datastoreItem>
</file>

<file path=customXml/itemProps4.xml><?xml version="1.0" encoding="utf-8"?>
<ds:datastoreItem xmlns:ds="http://schemas.openxmlformats.org/officeDocument/2006/customXml" ds:itemID="{55E5ED32-EEF1-4614-A4BD-1FC6A0573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Fulton</dc:creator>
  <cp:keywords/>
  <dc:description/>
  <cp:lastModifiedBy>Highfill, Janel</cp:lastModifiedBy>
  <cp:revision>7</cp:revision>
  <cp:lastPrinted>2018-04-09T18:17:00Z</cp:lastPrinted>
  <dcterms:created xsi:type="dcterms:W3CDTF">2018-03-13T21:05:00Z</dcterms:created>
  <dcterms:modified xsi:type="dcterms:W3CDTF">2018-04-09T18:17:00Z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0x0101002AEEE4C442D23B4AB9A4F36B20628C0F</vt:lpwstr>
  </property>
  <property fmtid="{D5CDD505-2E9C-101B-9397-08002B2CF9AE}" pid="3" name="_dlc_DocIdItemGuid">
    <vt:lpwstr>8078c0a5-b8ee-4683-b442-6f899909edff</vt:lpwstr>
  </property>
</Properties>
</file>