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14" w:rsidRPr="00FD6E48" w:rsidRDefault="00521773" w:rsidP="00FD6E48">
      <w:pPr>
        <w:jc w:val="center"/>
        <w:rPr>
          <w:b/>
          <w:sz w:val="28"/>
          <w:szCs w:val="28"/>
        </w:rPr>
      </w:pPr>
      <w:r w:rsidRPr="00521773">
        <w:rPr>
          <w:b/>
          <w:sz w:val="28"/>
          <w:szCs w:val="28"/>
        </w:rPr>
        <w:t>Action Team – Interview and Data Collection Form</w:t>
      </w:r>
    </w:p>
    <w:p w:rsidR="00EF31E5" w:rsidRDefault="00EF31E5" w:rsidP="00EF31E5">
      <w:pPr>
        <w:pStyle w:val="NormalWeb"/>
        <w:shd w:val="clear" w:color="auto" w:fill="FFFFFF"/>
        <w:spacing w:beforeAutospacing="0" w:afterAutospacing="0"/>
        <w:rPr>
          <w:rFonts w:ascii="Arial" w:hAnsi="Arial" w:cs="Arial"/>
          <w:color w:val="222222"/>
          <w:sz w:val="19"/>
          <w:szCs w:val="19"/>
        </w:rPr>
      </w:pPr>
      <w:r>
        <w:rPr>
          <w:rFonts w:ascii="Calibri" w:hAnsi="Calibri" w:cs="Arial"/>
          <w:b/>
          <w:bCs/>
          <w:color w:val="000000"/>
          <w:sz w:val="26"/>
          <w:szCs w:val="26"/>
        </w:rPr>
        <w:t>Action Team Member:</w:t>
      </w:r>
      <w:r>
        <w:rPr>
          <w:rStyle w:val="m8510949646836174855gmail-m-3473852371304012855gmail-apple-tab-span"/>
          <w:rFonts w:ascii="Calibri" w:hAnsi="Calibri" w:cs="Arial"/>
          <w:color w:val="000000"/>
          <w:sz w:val="26"/>
          <w:szCs w:val="26"/>
        </w:rPr>
        <w:t xml:space="preserve"> </w:t>
      </w:r>
      <w:r>
        <w:rPr>
          <w:rFonts w:ascii="Calibri" w:hAnsi="Calibri" w:cs="Arial"/>
          <w:color w:val="000000"/>
          <w:sz w:val="26"/>
          <w:szCs w:val="26"/>
        </w:rPr>
        <w:t xml:space="preserve">Dan </w:t>
      </w:r>
      <w:proofErr w:type="spellStart"/>
      <w:r>
        <w:rPr>
          <w:rFonts w:ascii="Calibri" w:hAnsi="Calibri" w:cs="Arial"/>
          <w:color w:val="000000"/>
          <w:sz w:val="26"/>
          <w:szCs w:val="26"/>
        </w:rPr>
        <w:t>Waldvogle</w:t>
      </w:r>
      <w:proofErr w:type="spellEnd"/>
    </w:p>
    <w:p w:rsidR="00EF31E5" w:rsidRDefault="00EF31E5" w:rsidP="00EF31E5">
      <w:pPr>
        <w:pStyle w:val="NormalWeb"/>
        <w:shd w:val="clear" w:color="auto" w:fill="FFFFFF"/>
        <w:spacing w:beforeAutospacing="0" w:afterAutospacing="0"/>
        <w:rPr>
          <w:rFonts w:ascii="Arial" w:hAnsi="Arial" w:cs="Arial"/>
          <w:color w:val="222222"/>
          <w:sz w:val="19"/>
          <w:szCs w:val="19"/>
        </w:rPr>
      </w:pPr>
      <w:r>
        <w:rPr>
          <w:rFonts w:ascii="Calibri" w:hAnsi="Calibri" w:cs="Arial"/>
          <w:b/>
          <w:bCs/>
          <w:color w:val="000000"/>
          <w:sz w:val="26"/>
          <w:szCs w:val="26"/>
        </w:rPr>
        <w:t xml:space="preserve">How </w:t>
      </w:r>
      <w:proofErr w:type="gramStart"/>
      <w:r>
        <w:rPr>
          <w:rFonts w:ascii="Calibri" w:hAnsi="Calibri" w:cs="Arial"/>
          <w:b/>
          <w:bCs/>
          <w:color w:val="000000"/>
          <w:sz w:val="26"/>
          <w:szCs w:val="26"/>
        </w:rPr>
        <w:t>Might We</w:t>
      </w:r>
      <w:proofErr w:type="gramEnd"/>
      <w:r>
        <w:rPr>
          <w:rFonts w:ascii="Calibri" w:hAnsi="Calibri" w:cs="Arial"/>
          <w:b/>
          <w:bCs/>
          <w:color w:val="000000"/>
          <w:sz w:val="26"/>
          <w:szCs w:val="26"/>
        </w:rPr>
        <w:t>:</w:t>
      </w:r>
      <w:r>
        <w:rPr>
          <w:rFonts w:ascii="Calibri" w:hAnsi="Calibri" w:cs="Arial"/>
          <w:color w:val="000000"/>
          <w:sz w:val="26"/>
          <w:szCs w:val="26"/>
        </w:rPr>
        <w:t xml:space="preserve">  </w:t>
      </w:r>
      <w:r>
        <w:rPr>
          <w:rStyle w:val="m8510949646836174855gmail-m-3473852371304012855gmail-apple-tab-span"/>
          <w:rFonts w:ascii="Calibri" w:hAnsi="Calibri" w:cs="Arial"/>
          <w:color w:val="000000"/>
          <w:sz w:val="26"/>
          <w:szCs w:val="26"/>
        </w:rPr>
        <w:t xml:space="preserve"> </w:t>
      </w:r>
      <w:r>
        <w:rPr>
          <w:rFonts w:ascii="Calibri" w:hAnsi="Calibri" w:cs="Arial"/>
          <w:color w:val="000000"/>
          <w:sz w:val="26"/>
          <w:szCs w:val="26"/>
        </w:rPr>
        <w:t>Provide educational support for the continued legacy of agriculture.  Specifically to determine models, programs and laws that support increasing a diversified farm/ranch income</w:t>
      </w:r>
    </w:p>
    <w:p w:rsidR="00EF31E5" w:rsidRDefault="00EF31E5" w:rsidP="00EF31E5">
      <w:pPr>
        <w:pStyle w:val="NormalWeb"/>
        <w:shd w:val="clear" w:color="auto" w:fill="FFFFFF"/>
        <w:spacing w:beforeAutospacing="0" w:afterAutospacing="0"/>
        <w:rPr>
          <w:rFonts w:ascii="Arial" w:hAnsi="Arial" w:cs="Arial"/>
          <w:color w:val="222222"/>
          <w:sz w:val="19"/>
          <w:szCs w:val="19"/>
        </w:rPr>
      </w:pPr>
      <w:r>
        <w:rPr>
          <w:rFonts w:ascii="Calibri" w:hAnsi="Calibri" w:cs="Arial"/>
          <w:b/>
          <w:bCs/>
          <w:color w:val="000000"/>
          <w:sz w:val="26"/>
          <w:szCs w:val="26"/>
        </w:rPr>
        <w:t xml:space="preserve">Data Source: </w:t>
      </w:r>
    </w:p>
    <w:p w:rsidR="00EF31E5" w:rsidRDefault="00EF31E5" w:rsidP="00EF31E5">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Name: Resource list   </w:t>
      </w:r>
      <w:r>
        <w:rPr>
          <w:rStyle w:val="m8510949646836174855gmail-m-3473852371304012855gmail-apple-tab-span"/>
          <w:rFonts w:ascii="Calibri" w:hAnsi="Calibri" w:cs="Arial"/>
          <w:color w:val="000000"/>
          <w:sz w:val="26"/>
          <w:szCs w:val="26"/>
        </w:rPr>
        <w:t xml:space="preserve"> </w:t>
      </w:r>
    </w:p>
    <w:p w:rsidR="00EF31E5" w:rsidRDefault="00EF31E5" w:rsidP="00EF31E5">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Contact: Website links provided</w:t>
      </w:r>
    </w:p>
    <w:p w:rsidR="00EF31E5" w:rsidRDefault="00EF31E5" w:rsidP="00EF31E5">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Add Cont</w:t>
      </w:r>
      <w:r>
        <w:rPr>
          <w:rFonts w:ascii="Calibri" w:hAnsi="Calibri" w:cs="Arial"/>
          <w:color w:val="000000"/>
          <w:sz w:val="26"/>
          <w:szCs w:val="26"/>
        </w:rPr>
        <w:t>act to Envision Contacts?    N</w:t>
      </w:r>
      <w:r>
        <w:rPr>
          <w:rFonts w:ascii="Calibri" w:hAnsi="Calibri" w:cs="Arial"/>
          <w:color w:val="000000"/>
          <w:sz w:val="26"/>
          <w:szCs w:val="26"/>
        </w:rPr>
        <w:t xml:space="preserve"> </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proofErr w:type="spellStart"/>
      <w:r>
        <w:rPr>
          <w:rFonts w:ascii="Calibri" w:hAnsi="Calibri" w:cs="Arial"/>
          <w:b/>
          <w:bCs/>
          <w:i/>
          <w:iCs/>
          <w:color w:val="000000"/>
          <w:sz w:val="26"/>
          <w:szCs w:val="26"/>
        </w:rPr>
        <w:t>Quivira</w:t>
      </w:r>
      <w:proofErr w:type="spellEnd"/>
      <w:r>
        <w:rPr>
          <w:rFonts w:ascii="Calibri" w:hAnsi="Calibri" w:cs="Arial"/>
          <w:b/>
          <w:bCs/>
          <w:i/>
          <w:iCs/>
          <w:color w:val="000000"/>
          <w:sz w:val="26"/>
          <w:szCs w:val="26"/>
        </w:rPr>
        <w:t xml:space="preserve"> Coalition New Agrarian Program</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7" w:anchor="about" w:tgtFrame="_blank" w:history="1">
        <w:r>
          <w:rPr>
            <w:rStyle w:val="Hyperlink"/>
            <w:rFonts w:ascii="Calibri" w:hAnsi="Calibri" w:cs="Arial"/>
            <w:color w:val="1155CC"/>
            <w:sz w:val="26"/>
            <w:szCs w:val="26"/>
          </w:rPr>
          <w:t>https://quiviracoalition.org/newagrarian/#about</w:t>
        </w:r>
      </w:hyperlink>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 xml:space="preserve">This program provides assistance for established ranches to host apprenticeship opportunities for beginning ranchers. </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 xml:space="preserve">2012 Census of Agriculture, </w:t>
      </w:r>
      <w:r>
        <w:rPr>
          <w:rFonts w:ascii="Calibri" w:hAnsi="Calibri" w:cs="Arial"/>
          <w:b/>
          <w:bCs/>
          <w:color w:val="000000"/>
          <w:sz w:val="26"/>
          <w:szCs w:val="26"/>
        </w:rPr>
        <w:t>USDA National Agricultural Statistics Service, 2014</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8" w:anchor="full_report" w:tgtFrame="_blank" w:history="1">
        <w:r>
          <w:rPr>
            <w:rStyle w:val="Hyperlink"/>
            <w:rFonts w:ascii="Calibri" w:hAnsi="Calibri" w:cs="Arial"/>
            <w:color w:val="1155CC"/>
            <w:sz w:val="26"/>
            <w:szCs w:val="26"/>
          </w:rPr>
          <w:t>https://www.agcensus.usda.gov/Publications/2012/#full_report</w:t>
        </w:r>
      </w:hyperlink>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The Census of Agriculture provides a comprehensive summary of agricultural activity nationwide. It is the only source of uniform, comprehensive data about U.S. farms and ranches at the state and county level, including information about land tenure and farmland ownership. The census is conducted every five years by the USDA National Agricultural Statistics Service.</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 xml:space="preserve">2014 Tenure, Ownership, and Transition of Agricultural Land Survey (TOTAL), </w:t>
      </w:r>
      <w:r>
        <w:rPr>
          <w:rFonts w:ascii="Calibri" w:hAnsi="Calibri" w:cs="Arial"/>
          <w:b/>
          <w:bCs/>
          <w:color w:val="000000"/>
          <w:sz w:val="26"/>
          <w:szCs w:val="26"/>
        </w:rPr>
        <w:t>USDA National Agricultural Statistics Service and the USDA Economic Research Service, 2015</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9" w:tgtFrame="_blank" w:history="1">
        <w:r>
          <w:rPr>
            <w:rStyle w:val="Hyperlink"/>
            <w:rFonts w:ascii="Calibri" w:hAnsi="Calibri" w:cs="Arial"/>
            <w:color w:val="1155CC"/>
            <w:sz w:val="26"/>
            <w:szCs w:val="26"/>
          </w:rPr>
          <w:t>https://www.agcensus.usda.gov/Publications/2012/Online_Resources/TOTAL/index.php</w:t>
        </w:r>
      </w:hyperlink>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This survey is a study of all agricultural land and agricultural landowners, including non-operator landlords. It provides information about acres rented out, demographic information, and land transfer plans. TOTAL was conducted by the USDA National Agricultural Statistics Service and the USDA Economic Research Service and is part of the Census of Agriculture program.</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 xml:space="preserve">Agricultural Land Tenure: A Curriculum for Beginning Farmers and Farm Seekers, </w:t>
      </w:r>
      <w:proofErr w:type="spellStart"/>
      <w:r>
        <w:rPr>
          <w:rFonts w:ascii="Calibri" w:hAnsi="Calibri" w:cs="Arial"/>
          <w:b/>
          <w:bCs/>
          <w:color w:val="000000"/>
          <w:sz w:val="26"/>
          <w:szCs w:val="26"/>
        </w:rPr>
        <w:t>FarmLASTS</w:t>
      </w:r>
      <w:proofErr w:type="spellEnd"/>
      <w:r>
        <w:rPr>
          <w:rFonts w:ascii="Calibri" w:hAnsi="Calibri" w:cs="Arial"/>
          <w:b/>
          <w:bCs/>
          <w:color w:val="000000"/>
          <w:sz w:val="26"/>
          <w:szCs w:val="26"/>
        </w:rPr>
        <w:t xml:space="preserve"> Project, University of Vermont and Land for Good, 2007</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10" w:tgtFrame="_blank" w:history="1">
        <w:r>
          <w:rPr>
            <w:rStyle w:val="Hyperlink"/>
            <w:rFonts w:ascii="Calibri" w:hAnsi="Calibri" w:cs="Arial"/>
            <w:color w:val="1155CC"/>
            <w:sz w:val="26"/>
            <w:szCs w:val="26"/>
          </w:rPr>
          <w:t>http://www.uvm.edu/farmlasts/?Page=education.html</w:t>
        </w:r>
      </w:hyperlink>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lastRenderedPageBreak/>
        <w:t>This curriculum includes lessons organized around seven topics designed to provide a thorough introduction to the complex issues of farmland access and tenure, including Farmland Tenure Basics, Financial Assessment, Owning Farmland, Finding Farmland, Leasing Farmland, Communication &amp; Negotiation, and Community Partners.</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Cash Rent Survey Web Page</w:t>
      </w:r>
      <w:r>
        <w:rPr>
          <w:rFonts w:ascii="Calibri" w:hAnsi="Calibri" w:cs="Arial"/>
          <w:b/>
          <w:bCs/>
          <w:color w:val="000000"/>
          <w:sz w:val="26"/>
          <w:szCs w:val="26"/>
        </w:rPr>
        <w:t>, National Agricultural Statistics Service</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11" w:tgtFrame="_blank" w:history="1">
        <w:r>
          <w:rPr>
            <w:rStyle w:val="Hyperlink"/>
            <w:rFonts w:ascii="Calibri" w:hAnsi="Calibri" w:cs="Arial"/>
            <w:color w:val="1155CC"/>
            <w:sz w:val="26"/>
            <w:szCs w:val="26"/>
          </w:rPr>
          <w:t>https://www.nass.usda.gov/Surveys/Guide_to_NASS_Surveys/Cash_Rents_by_County/</w:t>
        </w:r>
      </w:hyperlink>
    </w:p>
    <w:p w:rsidR="00EF31E5" w:rsidRDefault="00EF31E5" w:rsidP="00EF31E5">
      <w:pPr>
        <w:pStyle w:val="NormalWeb"/>
        <w:shd w:val="clear" w:color="auto" w:fill="FFFFFF"/>
        <w:spacing w:beforeAutospacing="0" w:after="0" w:afterAutospacing="0"/>
        <w:rPr>
          <w:rFonts w:ascii="Arial" w:hAnsi="Arial" w:cs="Arial"/>
          <w:color w:val="222222"/>
          <w:sz w:val="19"/>
          <w:szCs w:val="19"/>
        </w:rPr>
      </w:pPr>
      <w:r>
        <w:rPr>
          <w:rFonts w:ascii="Calibri" w:hAnsi="Calibri" w:cs="Arial"/>
          <w:color w:val="000000"/>
          <w:sz w:val="22"/>
          <w:szCs w:val="22"/>
        </w:rPr>
        <w:t>This site provides data about cash rents by county. The Cash Rents Survey provides the basis for county estimates of the cash rent paid for irrigated cropland, non-irrigated cropland, and pasture.   NASS conducts the county-level Cash Rents survey every other year in all states except Alaska. U.S. and state estimates are released in August every year using the June Area Survey.</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 xml:space="preserve">Cultivating the Next Generation: Resources and Policies to Help Beginning Farmers Succeed in Agriculture, </w:t>
      </w:r>
      <w:r>
        <w:rPr>
          <w:rFonts w:ascii="Calibri" w:hAnsi="Calibri" w:cs="Arial"/>
          <w:b/>
          <w:bCs/>
          <w:color w:val="000000"/>
          <w:sz w:val="26"/>
          <w:szCs w:val="26"/>
        </w:rPr>
        <w:t>American Farmland Trust, 2014</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12" w:tgtFrame="_blank" w:history="1">
        <w:r>
          <w:rPr>
            <w:rStyle w:val="Hyperlink"/>
            <w:rFonts w:ascii="Calibri" w:hAnsi="Calibri" w:cs="Arial"/>
            <w:color w:val="1155CC"/>
            <w:sz w:val="26"/>
            <w:szCs w:val="26"/>
          </w:rPr>
          <w:t>http://www.farmlandinfo.org/cultivating-next-generation-resources-and-policies-help-beginning-</w:t>
        </w:r>
      </w:hyperlink>
      <w:r>
        <w:rPr>
          <w:rFonts w:ascii="Calibri" w:hAnsi="Calibri" w:cs="Arial"/>
          <w:color w:val="0070C0"/>
          <w:sz w:val="26"/>
          <w:szCs w:val="26"/>
          <w:u w:val="single"/>
        </w:rPr>
        <w:t xml:space="preserve"> farmers-succeed-agriculture</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This report includes an inventory of state and federal policies and programs that support beginning farmers by providing access to capital, land and infrastructure and assistance with agricultural production, business planning and marketing.</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 xml:space="preserve">Harvesting a Profit, </w:t>
      </w:r>
      <w:r>
        <w:rPr>
          <w:rFonts w:ascii="Calibri" w:hAnsi="Calibri" w:cs="Arial"/>
          <w:b/>
          <w:bCs/>
          <w:color w:val="000000"/>
          <w:sz w:val="26"/>
          <w:szCs w:val="26"/>
        </w:rPr>
        <w:t>Farm Credit East, 2016</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13" w:tgtFrame="_blank" w:history="1">
        <w:r>
          <w:rPr>
            <w:rStyle w:val="Hyperlink"/>
            <w:rFonts w:ascii="Calibri" w:hAnsi="Calibri" w:cs="Arial"/>
            <w:color w:val="1155CC"/>
            <w:sz w:val="26"/>
            <w:szCs w:val="26"/>
          </w:rPr>
          <w:t>https://www.farmcrediteast.com/products-and-services/new-farmer-programs/harvesting-a-profit</w:t>
        </w:r>
      </w:hyperlink>
    </w:p>
    <w:p w:rsidR="00EF31E5" w:rsidRDefault="00EF31E5" w:rsidP="00EF31E5">
      <w:pPr>
        <w:pStyle w:val="NormalWeb"/>
        <w:shd w:val="clear" w:color="auto" w:fill="FFFFFF"/>
        <w:spacing w:beforeAutospacing="0" w:after="240" w:afterAutospacing="0"/>
        <w:rPr>
          <w:rFonts w:ascii="Arial" w:hAnsi="Arial" w:cs="Arial"/>
          <w:color w:val="222222"/>
          <w:sz w:val="19"/>
          <w:szCs w:val="19"/>
        </w:rPr>
      </w:pPr>
      <w:r>
        <w:rPr>
          <w:rFonts w:ascii="Calibri" w:hAnsi="Calibri" w:cs="Arial"/>
          <w:color w:val="000000"/>
          <w:sz w:val="26"/>
          <w:szCs w:val="26"/>
        </w:rPr>
        <w:t>This publication is a comprehensive guide to using financial information to help improve farm profitability. It is designed for those people involved in agriculture with limited exposure to agricultural economics, accounting or financial management. The guide includes chapters on how to make a profit, benchmarking your business and financial statements and reports.</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rPr>
        <w:t>Land Values 2017 Summary, USDA National Agricultural Statistics Service, 2017</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14" w:tgtFrame="_blank" w:history="1">
        <w:r>
          <w:rPr>
            <w:rStyle w:val="Hyperlink"/>
            <w:rFonts w:ascii="Calibri" w:hAnsi="Calibri" w:cs="Arial"/>
            <w:color w:val="1155CC"/>
            <w:sz w:val="26"/>
            <w:szCs w:val="26"/>
          </w:rPr>
          <w:t>https://usda.mannlib.cornell.edu/MannUsda/viewDocumentInfo.do?documentID=1446</w:t>
        </w:r>
      </w:hyperlink>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This report summarizes information from the annual June Area Survey, which collects data on crop acreage, land use, grain stocks, farms, rents, and the value of land and sales. NASS estimates national</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proofErr w:type="gramStart"/>
      <w:r>
        <w:rPr>
          <w:rFonts w:ascii="Calibri" w:hAnsi="Calibri" w:cs="Arial"/>
          <w:color w:val="000000"/>
          <w:sz w:val="26"/>
          <w:szCs w:val="26"/>
        </w:rPr>
        <w:t>and</w:t>
      </w:r>
      <w:proofErr w:type="gramEnd"/>
      <w:r>
        <w:rPr>
          <w:rFonts w:ascii="Calibri" w:hAnsi="Calibri" w:cs="Arial"/>
          <w:color w:val="000000"/>
          <w:sz w:val="26"/>
          <w:szCs w:val="26"/>
        </w:rPr>
        <w:t xml:space="preserve"> state agricultural land values and rental rates paid by producers (cash rents) from that survey.</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Information about land values in chart and map format is posted at:</w:t>
      </w:r>
      <w:hyperlink r:id="rId15" w:tgtFrame="_blank" w:history="1">
        <w:r>
          <w:rPr>
            <w:rStyle w:val="Hyperlink"/>
            <w:rFonts w:ascii="Calibri" w:hAnsi="Calibri" w:cs="Arial"/>
            <w:color w:val="000000"/>
            <w:sz w:val="26"/>
            <w:szCs w:val="26"/>
          </w:rPr>
          <w:t xml:space="preserve"> </w:t>
        </w:r>
        <w:r>
          <w:rPr>
            <w:rStyle w:val="Hyperlink"/>
            <w:rFonts w:ascii="Calibri" w:hAnsi="Calibri" w:cs="Arial"/>
            <w:color w:val="1155CC"/>
            <w:sz w:val="26"/>
            <w:szCs w:val="26"/>
          </w:rPr>
          <w:t>https://www.nass.usda.gov/Charts_and_Maps/Land_Values/</w:t>
        </w:r>
      </w:hyperlink>
      <w:r>
        <w:rPr>
          <w:rFonts w:ascii="Calibri" w:hAnsi="Calibri" w:cs="Arial"/>
          <w:color w:val="000000"/>
          <w:sz w:val="26"/>
          <w:szCs w:val="26"/>
        </w:rPr>
        <w:t>.</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lastRenderedPageBreak/>
        <w:t xml:space="preserve">Agricultural Conservation Easements, American Farmland Trust, 2016 </w:t>
      </w:r>
      <w:r>
        <w:rPr>
          <w:rFonts w:ascii="Calibri" w:hAnsi="Calibri" w:cs="Arial"/>
          <w:color w:val="000000"/>
          <w:sz w:val="26"/>
          <w:szCs w:val="26"/>
        </w:rPr>
        <w:br/>
      </w:r>
      <w:hyperlink r:id="rId16" w:tgtFrame="_blank" w:history="1">
        <w:r>
          <w:rPr>
            <w:rStyle w:val="Hyperlink"/>
            <w:rFonts w:ascii="Calibri" w:hAnsi="Calibri" w:cs="Arial"/>
            <w:color w:val="1155CC"/>
            <w:sz w:val="26"/>
            <w:szCs w:val="26"/>
          </w:rPr>
          <w:t>http://www.farmlandinfo.org/agricultural-conservation-easements</w:t>
        </w:r>
      </w:hyperlink>
      <w:r>
        <w:rPr>
          <w:rFonts w:ascii="Calibri" w:hAnsi="Calibri" w:cs="Arial"/>
          <w:color w:val="000000"/>
          <w:sz w:val="26"/>
          <w:szCs w:val="26"/>
        </w:rPr>
        <w:br/>
        <w:t>This fact sheet describes what agricultural conservation easements are and how landowners can use them to keep agricultural land available for farming and ranching.</w:t>
      </w:r>
      <w:r>
        <w:rPr>
          <w:rFonts w:ascii="Calibri" w:hAnsi="Calibri" w:cs="Arial"/>
          <w:color w:val="000000"/>
          <w:sz w:val="26"/>
          <w:szCs w:val="26"/>
        </w:rPr>
        <w:br/>
      </w:r>
      <w:r>
        <w:rPr>
          <w:rFonts w:ascii="Calibri" w:hAnsi="Calibri" w:cs="Arial"/>
          <w:b/>
          <w:bCs/>
          <w:i/>
          <w:iCs/>
          <w:color w:val="000000"/>
          <w:sz w:val="26"/>
          <w:szCs w:val="26"/>
        </w:rPr>
        <w:t xml:space="preserve">Purchase of Agricultural Conservation Easement Programs, </w:t>
      </w:r>
      <w:r>
        <w:rPr>
          <w:rFonts w:ascii="Calibri" w:hAnsi="Calibri" w:cs="Arial"/>
          <w:b/>
          <w:bCs/>
          <w:color w:val="000000"/>
          <w:sz w:val="26"/>
          <w:szCs w:val="26"/>
        </w:rPr>
        <w:t>American Farmland Trust, 2016</w:t>
      </w:r>
      <w:r>
        <w:rPr>
          <w:rFonts w:ascii="Calibri" w:hAnsi="Calibri" w:cs="Arial"/>
          <w:b/>
          <w:bCs/>
          <w:i/>
          <w:iCs/>
          <w:color w:val="000000"/>
          <w:sz w:val="26"/>
          <w:szCs w:val="26"/>
        </w:rPr>
        <w:t>.</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hyperlink r:id="rId17" w:tgtFrame="_blank" w:history="1">
        <w:r>
          <w:rPr>
            <w:rStyle w:val="Hyperlink"/>
            <w:rFonts w:ascii="Calibri" w:hAnsi="Calibri" w:cs="Arial"/>
            <w:color w:val="1155CC"/>
            <w:sz w:val="26"/>
            <w:szCs w:val="26"/>
          </w:rPr>
          <w:t>http://www.farmlandinfo.org/purchase-agricultural-conservation-easements</w:t>
        </w:r>
      </w:hyperlink>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 xml:space="preserve">This fact sheet describes what purchase of agricultural conservation easements programs are, how they protect agricultural land and where they are available. </w:t>
      </w:r>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hyperlink r:id="rId18" w:tgtFrame="_blank" w:history="1">
        <w:r>
          <w:rPr>
            <w:rStyle w:val="Hyperlink"/>
            <w:rFonts w:ascii="Arial" w:hAnsi="Arial" w:cs="Arial"/>
            <w:b/>
            <w:bCs/>
            <w:i/>
            <w:iCs/>
            <w:color w:val="000000"/>
          </w:rPr>
          <w:t>International Farm Transition Network</w:t>
        </w:r>
      </w:hyperlink>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hyperlink r:id="rId19" w:tgtFrame="_blank" w:history="1">
        <w:r>
          <w:rPr>
            <w:rStyle w:val="Hyperlink"/>
            <w:rFonts w:ascii="Arial" w:hAnsi="Arial" w:cs="Arial"/>
            <w:b/>
            <w:bCs/>
            <w:color w:val="1155CC"/>
            <w:sz w:val="20"/>
            <w:szCs w:val="20"/>
          </w:rPr>
          <w:t>http://www.farmtransition.org/</w:t>
        </w:r>
      </w:hyperlink>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r>
        <w:rPr>
          <w:rFonts w:ascii="Arial" w:hAnsi="Arial" w:cs="Arial"/>
          <w:color w:val="5B5B5D"/>
          <w:sz w:val="20"/>
          <w:szCs w:val="20"/>
        </w:rPr>
        <w:t>The goal of the IFTN is to support programs that foster the next generation of farmers and ranchers.</w:t>
      </w:r>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hyperlink r:id="rId20" w:tgtFrame="_blank" w:history="1">
        <w:r>
          <w:rPr>
            <w:rStyle w:val="Hyperlink"/>
            <w:rFonts w:ascii="Arial" w:hAnsi="Arial" w:cs="Arial"/>
            <w:b/>
            <w:bCs/>
            <w:i/>
            <w:iCs/>
            <w:color w:val="000000"/>
          </w:rPr>
          <w:t>Land Stewardship Project’s Farm Transitions Toolkit</w:t>
        </w:r>
      </w:hyperlink>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hyperlink r:id="rId21" w:tgtFrame="_blank" w:history="1">
        <w:r>
          <w:rPr>
            <w:rStyle w:val="Hyperlink"/>
            <w:rFonts w:ascii="Calibri" w:hAnsi="Calibri" w:cs="Arial"/>
            <w:b/>
            <w:bCs/>
            <w:color w:val="1155CC"/>
            <w:sz w:val="22"/>
            <w:szCs w:val="22"/>
          </w:rPr>
          <w:t>https://landstewardshipproject.org/morefarmers/farmtransitiontools/farmtransitionstoolkit</w:t>
        </w:r>
      </w:hyperlink>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r>
        <w:rPr>
          <w:rFonts w:ascii="Arial" w:hAnsi="Arial" w:cs="Arial"/>
          <w:color w:val="5B5B5D"/>
          <w:sz w:val="20"/>
          <w:szCs w:val="20"/>
        </w:rPr>
        <w:t>A toolkit for planning the transition of your land to the next generation.</w:t>
      </w:r>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hyperlink r:id="rId22" w:tgtFrame="_blank" w:history="1">
        <w:r>
          <w:rPr>
            <w:rStyle w:val="Hyperlink"/>
            <w:rFonts w:ascii="Arial" w:hAnsi="Arial" w:cs="Arial"/>
            <w:b/>
            <w:bCs/>
            <w:i/>
            <w:iCs/>
            <w:color w:val="000000"/>
          </w:rPr>
          <w:t xml:space="preserve">California </w:t>
        </w:r>
        <w:proofErr w:type="spellStart"/>
        <w:r>
          <w:rPr>
            <w:rStyle w:val="Hyperlink"/>
            <w:rFonts w:ascii="Arial" w:hAnsi="Arial" w:cs="Arial"/>
            <w:b/>
            <w:bCs/>
            <w:i/>
            <w:iCs/>
            <w:color w:val="000000"/>
          </w:rPr>
          <w:t>FarmLink’s</w:t>
        </w:r>
        <w:proofErr w:type="spellEnd"/>
        <w:r>
          <w:rPr>
            <w:rStyle w:val="Hyperlink"/>
            <w:rFonts w:ascii="Arial" w:hAnsi="Arial" w:cs="Arial"/>
            <w:b/>
            <w:bCs/>
            <w:i/>
            <w:iCs/>
            <w:color w:val="000000"/>
          </w:rPr>
          <w:t xml:space="preserve"> Farm Succession Guidebook</w:t>
        </w:r>
      </w:hyperlink>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hyperlink r:id="rId23" w:tgtFrame="_blank" w:history="1">
        <w:r>
          <w:rPr>
            <w:rStyle w:val="Hyperlink"/>
            <w:rFonts w:ascii="Calibri" w:hAnsi="Calibri" w:cs="Arial"/>
            <w:b/>
            <w:bCs/>
            <w:color w:val="1155CC"/>
            <w:sz w:val="22"/>
            <w:szCs w:val="22"/>
          </w:rPr>
          <w:t>http://www.californiafarmlink.org/succession-planning/farm-succession-guidebook</w:t>
        </w:r>
      </w:hyperlink>
    </w:p>
    <w:p w:rsidR="00EF31E5" w:rsidRDefault="00EF31E5" w:rsidP="00EF31E5">
      <w:pPr>
        <w:pStyle w:val="NormalWeb"/>
        <w:shd w:val="clear" w:color="auto" w:fill="FFFFFF"/>
        <w:spacing w:beforeAutospacing="0" w:after="300" w:afterAutospacing="0"/>
        <w:rPr>
          <w:rFonts w:ascii="Arial" w:hAnsi="Arial" w:cs="Arial"/>
          <w:color w:val="222222"/>
          <w:sz w:val="19"/>
          <w:szCs w:val="19"/>
        </w:rPr>
      </w:pPr>
      <w:r>
        <w:rPr>
          <w:rFonts w:ascii="Arial" w:hAnsi="Arial" w:cs="Arial"/>
          <w:color w:val="5B5B5D"/>
          <w:sz w:val="20"/>
          <w:szCs w:val="20"/>
        </w:rPr>
        <w:t>Describes in detail the process of mapping the transition of the family farm business, land, and assets from one generation to the next.</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Colorado Agriculture Development Authority</w:t>
      </w:r>
      <w:r>
        <w:rPr>
          <w:rFonts w:ascii="Calibri" w:hAnsi="Calibri" w:cs="Arial"/>
          <w:color w:val="000000"/>
          <w:sz w:val="26"/>
          <w:szCs w:val="26"/>
        </w:rPr>
        <w:br/>
      </w:r>
      <w:hyperlink r:id="rId24" w:tgtFrame="_blank" w:history="1">
        <w:r>
          <w:rPr>
            <w:rStyle w:val="Hyperlink"/>
            <w:rFonts w:ascii="Calibri" w:hAnsi="Calibri" w:cs="Arial"/>
            <w:color w:val="1155CC"/>
            <w:sz w:val="26"/>
            <w:szCs w:val="26"/>
          </w:rPr>
          <w:t>http://www.cadafarmloan.com</w:t>
        </w:r>
      </w:hyperlink>
      <w:r>
        <w:rPr>
          <w:rFonts w:ascii="Calibri" w:hAnsi="Calibri" w:cs="Arial"/>
          <w:color w:val="000000"/>
          <w:sz w:val="26"/>
          <w:szCs w:val="26"/>
        </w:rPr>
        <w:br/>
      </w:r>
      <w:proofErr w:type="gramStart"/>
      <w:r>
        <w:rPr>
          <w:rFonts w:ascii="Calibri" w:hAnsi="Calibri" w:cs="Arial"/>
          <w:color w:val="000000"/>
          <w:sz w:val="26"/>
          <w:szCs w:val="26"/>
        </w:rPr>
        <w:t>This</w:t>
      </w:r>
      <w:proofErr w:type="gramEnd"/>
      <w:r>
        <w:rPr>
          <w:rFonts w:ascii="Calibri" w:hAnsi="Calibri" w:cs="Arial"/>
          <w:color w:val="000000"/>
          <w:sz w:val="26"/>
          <w:szCs w:val="26"/>
        </w:rPr>
        <w:t xml:space="preserve"> is an independent public body politic. The Beginning Farmer Loan Program’s purpose is to encourage the investment of private capital in the agricultural sector through the use of public financing for the purpose of making low-interest loans available to agricultural producers for specified uses.  </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 xml:space="preserve">The Farm Lease Income Tax Deduction who lease an asset to a beginning farmer.  An agricultural asset that is eligible for this credit means land, crops, livestock and livestock facilities, farm equipment and machinery, grain storage, or irrigation equipment. </w:t>
      </w:r>
      <w:r>
        <w:rPr>
          <w:rFonts w:ascii="Calibri" w:hAnsi="Calibri" w:cs="Arial"/>
          <w:color w:val="000000"/>
          <w:sz w:val="26"/>
          <w:szCs w:val="26"/>
        </w:rPr>
        <w:br/>
      </w:r>
      <w:r>
        <w:rPr>
          <w:rFonts w:ascii="Calibri" w:hAnsi="Calibri" w:cs="Arial"/>
          <w:i/>
          <w:iCs/>
          <w:color w:val="000000"/>
          <w:sz w:val="26"/>
          <w:szCs w:val="26"/>
        </w:rPr>
        <w:lastRenderedPageBreak/>
        <w:br/>
      </w:r>
      <w:r>
        <w:rPr>
          <w:rFonts w:ascii="Calibri" w:hAnsi="Calibri" w:cs="Arial"/>
          <w:b/>
          <w:bCs/>
          <w:i/>
          <w:iCs/>
          <w:color w:val="000000"/>
          <w:sz w:val="26"/>
          <w:szCs w:val="26"/>
        </w:rPr>
        <w:t>Colorado Agriculture Workforce Development Act SB18-042</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This act would assist agricultural businesses with the costs of hiring interns and expand training opportunities for aspiring farmers and ranchers.</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i/>
          <w:iCs/>
          <w:color w:val="000000"/>
          <w:sz w:val="26"/>
          <w:szCs w:val="26"/>
        </w:rPr>
        <w:t>Cottage Foods/Poultry Bill SB16-058</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This bill provides small scale exemptions for cottage foods and poultry processing.  It creates more income opportunities for family farms and ranches.  </w:t>
      </w:r>
    </w:p>
    <w:p w:rsidR="00EF31E5" w:rsidRDefault="00EF31E5" w:rsidP="00EF31E5">
      <w:pPr>
        <w:rPr>
          <w:rFonts w:ascii="Arial" w:hAnsi="Arial" w:cs="Arial"/>
          <w:color w:val="222222"/>
          <w:sz w:val="19"/>
          <w:szCs w:val="19"/>
        </w:rPr>
      </w:pPr>
      <w:r>
        <w:rPr>
          <w:rFonts w:ascii="Arial" w:hAnsi="Arial" w:cs="Arial"/>
          <w:color w:val="222222"/>
          <w:sz w:val="19"/>
          <w:szCs w:val="19"/>
        </w:rPr>
        <w:br/>
      </w:r>
      <w:r>
        <w:rPr>
          <w:rFonts w:ascii="Calibri" w:hAnsi="Calibri" w:cs="Arial"/>
          <w:b/>
          <w:bCs/>
          <w:color w:val="000000"/>
          <w:sz w:val="26"/>
          <w:szCs w:val="26"/>
        </w:rPr>
        <w:t>I</w:t>
      </w:r>
      <w:r>
        <w:rPr>
          <w:rFonts w:ascii="Calibri" w:hAnsi="Calibri" w:cs="Arial"/>
          <w:b/>
          <w:bCs/>
          <w:color w:val="000000"/>
          <w:sz w:val="26"/>
          <w:szCs w:val="26"/>
        </w:rPr>
        <w:t>nsights:</w:t>
      </w:r>
    </w:p>
    <w:p w:rsidR="00EF31E5" w:rsidRDefault="00EF31E5" w:rsidP="00EF31E5">
      <w:pPr>
        <w:pStyle w:val="NormalWeb"/>
        <w:shd w:val="clear" w:color="auto" w:fill="FFFFFF"/>
        <w:spacing w:beforeAutospacing="0" w:after="200" w:afterAutospacing="0"/>
        <w:rPr>
          <w:rFonts w:ascii="Arial" w:hAnsi="Arial" w:cs="Arial"/>
          <w:color w:val="222222"/>
          <w:sz w:val="19"/>
          <w:szCs w:val="19"/>
        </w:rPr>
      </w:pPr>
      <w:r>
        <w:rPr>
          <w:rFonts w:ascii="Calibri" w:hAnsi="Calibri" w:cs="Arial"/>
          <w:color w:val="000000"/>
          <w:sz w:val="26"/>
          <w:szCs w:val="26"/>
        </w:rPr>
        <w:t>Listed above are possible resources for farm/ranch succession and transition planning.  There are programs listed that are models for creating readiness for future farmers that, in addition, create potential labor sources for current operations.  There are also some programs and laws that allow for secondary farm enterprises that could increase farm/ranch revenue, and provide the next generation of farmers and ranchers an additional and diversified income stream.  </w:t>
      </w:r>
    </w:p>
    <w:p w:rsidR="00D333BB" w:rsidRDefault="00D333BB">
      <w:pPr>
        <w:spacing w:before="100"/>
        <w:rPr>
          <w:rFonts w:cstheme="minorHAnsi"/>
          <w:sz w:val="26"/>
          <w:szCs w:val="26"/>
        </w:rPr>
      </w:pPr>
      <w:bookmarkStart w:id="0" w:name="_GoBack"/>
      <w:bookmarkEnd w:id="0"/>
      <w:r>
        <w:rPr>
          <w:rFonts w:cstheme="minorHAnsi"/>
          <w:sz w:val="26"/>
          <w:szCs w:val="26"/>
        </w:rPr>
        <w:br w:type="page"/>
      </w:r>
    </w:p>
    <w:sectPr w:rsidR="00D333BB" w:rsidSect="00226AE2">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8C8" w:rsidRDefault="005A48C8" w:rsidP="00B85BE7">
      <w:pPr>
        <w:spacing w:after="0" w:line="240" w:lineRule="auto"/>
      </w:pPr>
      <w:r>
        <w:separator/>
      </w:r>
    </w:p>
  </w:endnote>
  <w:endnote w:type="continuationSeparator" w:id="0">
    <w:p w:rsidR="005A48C8" w:rsidRDefault="005A48C8"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8C8" w:rsidRDefault="005A48C8" w:rsidP="00B85BE7">
      <w:pPr>
        <w:spacing w:after="0" w:line="240" w:lineRule="auto"/>
      </w:pPr>
      <w:r>
        <w:separator/>
      </w:r>
    </w:p>
  </w:footnote>
  <w:footnote w:type="continuationSeparator" w:id="0">
    <w:p w:rsidR="005A48C8" w:rsidRDefault="005A48C8" w:rsidP="00B8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4B70"/>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48C8"/>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0AAE"/>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642C"/>
    <w:rsid w:val="00ED6C03"/>
    <w:rsid w:val="00ED7511"/>
    <w:rsid w:val="00ED7B44"/>
    <w:rsid w:val="00EE3CC0"/>
    <w:rsid w:val="00EE6DBF"/>
    <w:rsid w:val="00EF1425"/>
    <w:rsid w:val="00EF1E61"/>
    <w:rsid w:val="00EF31E5"/>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customStyle="1" w:styleId="m8510949646836174855gmail-m-3473852371304012855gmail-apple-tab-span">
    <w:name w:val="m_8510949646836174855gmail-m_-3473852371304012855gmail-apple-tab-span"/>
    <w:basedOn w:val="DefaultParagraphFont"/>
    <w:rsid w:val="00EF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205824460">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ensus.usda.gov/Publications/2012/" TargetMode="External"/><Relationship Id="rId13" Type="http://schemas.openxmlformats.org/officeDocument/2006/relationships/hyperlink" Target="https://www.farmcrediteast.com/products-and-services/new-farmer-programs/harvesting-a-profit" TargetMode="External"/><Relationship Id="rId18" Type="http://schemas.openxmlformats.org/officeDocument/2006/relationships/hyperlink" Target="http://www.farmtransition.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andstewardshipproject.org/morefarmers/farmtransitiontools/farmtransitionstoolkit" TargetMode="External"/><Relationship Id="rId7" Type="http://schemas.openxmlformats.org/officeDocument/2006/relationships/hyperlink" Target="https://quiviracoalition.org/newagrarian/" TargetMode="External"/><Relationship Id="rId12" Type="http://schemas.openxmlformats.org/officeDocument/2006/relationships/hyperlink" Target="http://www.farmlandinfo.org/cultivating-next-generation-resources-and-policies-help-beginning-" TargetMode="External"/><Relationship Id="rId17" Type="http://schemas.openxmlformats.org/officeDocument/2006/relationships/hyperlink" Target="http://www.farmlandinfo.org/purchase-agricultural-conservation-easeme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rmlandinfo.org/agricultural-conservation-easements" TargetMode="External"/><Relationship Id="rId20" Type="http://schemas.openxmlformats.org/officeDocument/2006/relationships/hyperlink" Target="http://landstewardshipproject.org/morefarmers/farmtransitiontools/farmtransitions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s.usda.gov/Surveys/Guide_to_NASS_Surveys/Cash_Rents_by_County/" TargetMode="External"/><Relationship Id="rId24" Type="http://schemas.openxmlformats.org/officeDocument/2006/relationships/hyperlink" Target="http://www.cadafarmloan.com/" TargetMode="External"/><Relationship Id="rId5" Type="http://schemas.openxmlformats.org/officeDocument/2006/relationships/footnotes" Target="footnotes.xml"/><Relationship Id="rId15" Type="http://schemas.openxmlformats.org/officeDocument/2006/relationships/hyperlink" Target="https://www.nass.usda.gov/Charts_and_Maps/Land_Values/" TargetMode="External"/><Relationship Id="rId23" Type="http://schemas.openxmlformats.org/officeDocument/2006/relationships/hyperlink" Target="http://www.californiafarmlink.org/succession-planning/farm-succession-guidebook" TargetMode="External"/><Relationship Id="rId28" Type="http://schemas.openxmlformats.org/officeDocument/2006/relationships/theme" Target="theme/theme1.xml"/><Relationship Id="rId10" Type="http://schemas.openxmlformats.org/officeDocument/2006/relationships/hyperlink" Target="http://www.uvm.edu/farmlasts/?Page=education.html" TargetMode="External"/><Relationship Id="rId19" Type="http://schemas.openxmlformats.org/officeDocument/2006/relationships/hyperlink" Target="http://www.farmtransition.org/" TargetMode="External"/><Relationship Id="rId4" Type="http://schemas.openxmlformats.org/officeDocument/2006/relationships/webSettings" Target="webSettings.xml"/><Relationship Id="rId9" Type="http://schemas.openxmlformats.org/officeDocument/2006/relationships/hyperlink" Target="https://www.agcensus.usda.gov/Publications/2012/Online_Resources/TOTAL/index.php" TargetMode="External"/><Relationship Id="rId14" Type="http://schemas.openxmlformats.org/officeDocument/2006/relationships/hyperlink" Target="https://usda.mannlib.cornell.edu/MannUsda/viewDocumentInfo.do?documentID=1446" TargetMode="External"/><Relationship Id="rId22" Type="http://schemas.openxmlformats.org/officeDocument/2006/relationships/hyperlink" Target="http://www.californiafarmlink.org/succession-planning/farm-succession-guideboo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Andrew Mackie</cp:lastModifiedBy>
  <cp:revision>2</cp:revision>
  <cp:lastPrinted>2018-01-26T18:19:00Z</cp:lastPrinted>
  <dcterms:created xsi:type="dcterms:W3CDTF">2018-02-25T19:08:00Z</dcterms:created>
  <dcterms:modified xsi:type="dcterms:W3CDTF">2018-02-25T19:08:00Z</dcterms:modified>
</cp:coreProperties>
</file>