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 xml:space="preserve">Action Team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>Interview and Data Collection Form</w:t>
      </w:r>
    </w:p>
    <w:p>
      <w:pPr>
        <w:pStyle w:val="Body"/>
        <w:spacing w:after="100"/>
      </w:pPr>
      <w:r>
        <w:rPr>
          <w:b w:val="1"/>
          <w:bCs w:val="1"/>
          <w:sz w:val="26"/>
          <w:szCs w:val="26"/>
          <w:rtl w:val="0"/>
          <w:lang w:val="en-US"/>
        </w:rPr>
        <w:t>Action Team Member: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>Chuck Azzopardi</w:t>
      </w:r>
    </w:p>
    <w:p>
      <w:pPr>
        <w:pStyle w:val="Body"/>
        <w:spacing w:after="100"/>
      </w:pPr>
      <w:r>
        <w:rPr>
          <w:b w:val="1"/>
          <w:bCs w:val="1"/>
          <w:sz w:val="26"/>
          <w:szCs w:val="26"/>
          <w:rtl w:val="0"/>
          <w:lang w:val="en-US"/>
        </w:rPr>
        <w:t>How Might We:</w:t>
      </w:r>
      <w:r>
        <w:rPr>
          <w:sz w:val="26"/>
          <w:szCs w:val="26"/>
          <w:rtl w:val="0"/>
          <w:lang w:val="de-DE"/>
        </w:rPr>
        <w:t xml:space="preserve">  </w:t>
        <w:tab/>
        <w:tab/>
      </w:r>
      <w:r>
        <w:rPr>
          <w:sz w:val="26"/>
          <w:szCs w:val="26"/>
          <w:rtl w:val="0"/>
          <w:lang w:val="en-US"/>
        </w:rPr>
        <w:t>Agriculture and Development in Towns</w:t>
      </w:r>
    </w:p>
    <w:p>
      <w:pPr>
        <w:pStyle w:val="Body"/>
        <w:spacing w:after="100"/>
      </w:pPr>
      <w:r>
        <w:rPr>
          <w:b w:val="1"/>
          <w:bCs w:val="1"/>
          <w:sz w:val="26"/>
          <w:szCs w:val="26"/>
          <w:rtl w:val="0"/>
          <w:lang w:val="en-US"/>
        </w:rPr>
        <w:t>Data Source:</w:t>
      </w:r>
    </w:p>
    <w:p>
      <w:pPr>
        <w:pStyle w:val="Body"/>
        <w:spacing w:after="100"/>
      </w:pPr>
      <w:r>
        <w:rPr>
          <w:sz w:val="26"/>
          <w:szCs w:val="26"/>
          <w:rtl w:val="0"/>
          <w:lang w:val="de-DE"/>
        </w:rPr>
        <w:tab/>
        <w:t xml:space="preserve">Name:  </w:t>
        <w:tab/>
      </w:r>
      <w:r>
        <w:rPr>
          <w:sz w:val="26"/>
          <w:szCs w:val="26"/>
          <w:rtl w:val="0"/>
          <w:lang w:val="en-US"/>
        </w:rPr>
        <w:t>Oregon Tilth  www.</w:t>
      </w:r>
      <w:r>
        <w:rPr>
          <w:sz w:val="26"/>
          <w:szCs w:val="26"/>
          <w:rtl w:val="0"/>
        </w:rPr>
        <w:t>tilth.org</w:t>
      </w:r>
    </w:p>
    <w:p>
      <w:pPr>
        <w:pStyle w:val="Body"/>
        <w:spacing w:after="100"/>
      </w:pPr>
      <w:r>
        <w:rPr>
          <w:sz w:val="26"/>
          <w:szCs w:val="26"/>
          <w:rtl w:val="0"/>
          <w:lang w:val="en-US"/>
        </w:rPr>
        <w:tab/>
        <w:t>Contact:</w:t>
        <w:tab/>
      </w:r>
      <w:r>
        <w:rPr>
          <w:sz w:val="26"/>
          <w:szCs w:val="26"/>
          <w:rtl w:val="0"/>
          <w:lang w:val="en-US"/>
        </w:rPr>
        <w:t xml:space="preserve"> Ali  (541)228-9362</w:t>
      </w:r>
    </w:p>
    <w:p>
      <w:pPr>
        <w:pStyle w:val="Body"/>
        <w:spacing w:after="100"/>
      </w:pPr>
      <w:r>
        <w:rPr>
          <w:sz w:val="26"/>
          <w:szCs w:val="26"/>
          <w:rtl w:val="0"/>
          <w:lang w:val="en-US"/>
        </w:rPr>
        <w:tab/>
        <w:t xml:space="preserve">Add Contact to Envision Contacts?    </w:t>
      </w:r>
      <w:r>
        <w:rPr>
          <w:sz w:val="26"/>
          <w:szCs w:val="26"/>
          <w:rtl w:val="0"/>
          <w:lang w:val="en-US"/>
        </w:rPr>
        <w:t>Y</w:t>
      </w:r>
    </w:p>
    <w:p>
      <w:pPr>
        <w:pStyle w:val="Body"/>
        <w:spacing w:after="100"/>
      </w:pPr>
    </w:p>
    <w:p>
      <w:pPr>
        <w:pStyle w:val="Body"/>
      </w:pPr>
      <w:r>
        <w:rPr>
          <w:b w:val="1"/>
          <w:bCs w:val="1"/>
          <w:sz w:val="26"/>
          <w:szCs w:val="26"/>
          <w:rtl w:val="0"/>
          <w:lang w:val="en-US"/>
        </w:rPr>
        <w:t>Insights: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Oregon Tilth does not offer distribution of crops or livestock.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Oregon Tilth is a certifying organization.  They certify crops &amp; livestock to be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organic</w:t>
      </w:r>
      <w:r>
        <w:rPr>
          <w:sz w:val="26"/>
          <w:szCs w:val="26"/>
          <w:rtl w:val="0"/>
          <w:lang w:val="en-US"/>
        </w:rPr>
        <w:t>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Body"/>
        <w:numPr>
          <w:ilvl w:val="0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 xml:space="preserve">Over the last few years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organic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>certification las been increasing dramatically (from very low starting points).  Ali indicates that it is continuing to increase by 20%, year over year.</w:t>
      </w:r>
    </w:p>
    <w:p>
      <w:pPr>
        <w:pStyle w:val="Body"/>
        <w:numPr>
          <w:ilvl w:val="0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 xml:space="preserve">Other recognized certifications include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natural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 xml:space="preserve">and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grass fed</w:t>
      </w:r>
      <w:r>
        <w:rPr>
          <w:sz w:val="26"/>
          <w:szCs w:val="26"/>
          <w:rtl w:val="0"/>
          <w:lang w:val="en-US"/>
        </w:rPr>
        <w:t>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Body"/>
        <w:numPr>
          <w:ilvl w:val="0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 xml:space="preserve">Certification allows the farmer/rancher to include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organic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>in their marketing.</w:t>
      </w:r>
    </w:p>
    <w:p>
      <w:pPr>
        <w:pStyle w:val="Body"/>
        <w:numPr>
          <w:ilvl w:val="0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Organic certification provides some specific funding sources from USDA NRCS.</w:t>
      </w:r>
    </w:p>
    <w:p>
      <w:pPr>
        <w:pStyle w:val="Body"/>
        <w:spacing w:before="100"/>
      </w:pPr>
    </w:p>
    <w:p>
      <w:pPr>
        <w:pStyle w:val="Body"/>
        <w:spacing w:before="100"/>
      </w:pPr>
      <w:r>
        <w:rPr>
          <w:b w:val="1"/>
          <w:bCs w:val="1"/>
          <w:sz w:val="26"/>
          <w:szCs w:val="26"/>
          <w:rtl w:val="0"/>
          <w:lang w:val="en-US"/>
        </w:rPr>
        <w:t>reports or maps or web links the team should read/review</w:t>
      </w:r>
      <w:r>
        <w:rPr>
          <w:b w:val="1"/>
          <w:bCs w:val="1"/>
          <w:sz w:val="26"/>
          <w:szCs w:val="26"/>
          <w:rtl w:val="0"/>
          <w:lang w:val="en-US"/>
        </w:rPr>
        <w:t>:</w:t>
      </w:r>
    </w:p>
    <w:p>
      <w:pPr>
        <w:pStyle w:val="Body"/>
        <w:spacing w:before="100"/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"http://www.tilth.org"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www.tilth.org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</w:t>
      </w:r>
    </w:p>
    <w:p>
      <w:pPr>
        <w:pStyle w:val="Body"/>
        <w:spacing w:before="100"/>
      </w:pPr>
      <w:r>
        <w:rPr>
          <w:sz w:val="26"/>
          <w:szCs w:val="26"/>
          <w:rtl w:val="0"/>
          <w:lang w:val="en-US"/>
        </w:rPr>
        <w:t>there is an abundance of info on the site, with the important details, for our Action Team, summarized in the Insights Bullet Points above.</w:t>
      </w:r>
    </w:p>
    <w:p>
      <w:pPr>
        <w:pStyle w:val="Body"/>
        <w:spacing w:before="100"/>
      </w:pPr>
      <w:r>
        <w:rPr>
          <w:sz w:val="26"/>
          <w:szCs w:val="26"/>
          <w:rtl w:val="0"/>
          <w:lang w:val="en-US"/>
        </w:rPr>
        <w:t>Note that some of the important details (above) were learned through discussions with Ali at Tilth Oregon.  Ali is a good source if we have additional questions</w:t>
      </w:r>
      <w:r>
        <w:rPr>
          <w:sz w:val="26"/>
          <w:szCs w:val="26"/>
          <w:rtl w:val="0"/>
          <w:lang w:val="en-US"/>
        </w:rPr>
        <w:t>…</w:t>
      </w:r>
    </w:p>
    <w:p>
      <w:pPr>
        <w:pStyle w:val="Body"/>
        <w:spacing w:before="100"/>
      </w:pPr>
    </w:p>
    <w:p>
      <w:pPr>
        <w:pStyle w:val="Body"/>
        <w:spacing w:before="100"/>
      </w:pPr>
    </w:p>
    <w:p>
      <w:pPr>
        <w:pStyle w:val="Body"/>
        <w:spacing w:before="100"/>
      </w:pPr>
    </w:p>
    <w:p>
      <w:pPr>
        <w:pStyle w:val="Body"/>
        <w:spacing w:before="100"/>
      </w:pPr>
      <w:r>
        <w:rPr>
          <w:sz w:val="26"/>
          <w:szCs w:val="26"/>
          <w:rtl w:val="0"/>
          <w:lang w:val="en-US"/>
        </w:rPr>
        <w:t>additional details:</w:t>
      </w:r>
    </w:p>
    <w:p>
      <w:pPr>
        <w:pStyle w:val="Body"/>
        <w:spacing w:before="100"/>
      </w:pPr>
    </w:p>
    <w:p>
      <w:pPr>
        <w:pStyle w:val="Body"/>
        <w:numPr>
          <w:ilvl w:val="0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crops that Oregon Tilth will certify include hay, alfalfa, grains</w:t>
      </w:r>
    </w:p>
    <w:p>
      <w:pPr>
        <w:pStyle w:val="Body"/>
        <w:spacing w:before="100"/>
      </w:pPr>
    </w:p>
    <w:p>
      <w:pPr>
        <w:pStyle w:val="Body"/>
        <w:numPr>
          <w:ilvl w:val="0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to achieve organic certification the following needs to be performed</w:t>
      </w:r>
    </w:p>
    <w:p>
      <w:pPr>
        <w:pStyle w:val="Body"/>
        <w:numPr>
          <w:ilvl w:val="1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no preservative substances can be used on the land for 36months</w:t>
      </w:r>
    </w:p>
    <w:p>
      <w:pPr>
        <w:pStyle w:val="Body"/>
        <w:numPr>
          <w:ilvl w:val="1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livestock must be fed organic feed from last 1/3 of gestation till slaughter</w:t>
      </w:r>
    </w:p>
    <w:p>
      <w:pPr>
        <w:pStyle w:val="Body"/>
        <w:numPr>
          <w:ilvl w:val="1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poultry must be fed organic feed from 2days after hatch</w:t>
      </w:r>
    </w:p>
    <w:p>
      <w:pPr>
        <w:pStyle w:val="Body"/>
        <w:numPr>
          <w:ilvl w:val="1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slaughter must occur at processing plant certified to be organic</w:t>
      </w:r>
    </w:p>
    <w:p>
      <w:pPr>
        <w:pStyle w:val="Body"/>
        <w:numPr>
          <w:ilvl w:val="2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Scanga Meat is not currently</w:t>
      </w:r>
    </w:p>
    <w:p>
      <w:pPr>
        <w:pStyle w:val="Body"/>
        <w:numPr>
          <w:ilvl w:val="2"/>
          <w:numId w:val="3"/>
        </w:numPr>
        <w:spacing w:before="100"/>
        <w:rPr>
          <w:sz w:val="26"/>
          <w:szCs w:val="26"/>
        </w:rPr>
      </w:pPr>
      <w:r>
        <w:rPr>
          <w:rStyle w:val="Link"/>
          <w:sz w:val="26"/>
          <w:szCs w:val="26"/>
        </w:rPr>
        <w:fldChar w:fldCharType="begin" w:fldLock="0"/>
      </w:r>
      <w:r>
        <w:rPr>
          <w:rStyle w:val="Link"/>
          <w:sz w:val="26"/>
          <w:szCs w:val="26"/>
        </w:rPr>
        <w:instrText xml:space="preserve"> HYPERLINK "https://organic.ams.usda.gov/integrity/Search.aspx"</w:instrText>
      </w:r>
      <w:r>
        <w:rPr>
          <w:rStyle w:val="Link"/>
          <w:sz w:val="26"/>
          <w:szCs w:val="26"/>
        </w:rPr>
        <w:fldChar w:fldCharType="separate" w:fldLock="0"/>
      </w:r>
      <w:r>
        <w:rPr>
          <w:rStyle w:val="Link"/>
          <w:sz w:val="26"/>
          <w:szCs w:val="26"/>
          <w:rtl w:val="0"/>
          <w:lang w:val="en-US"/>
        </w:rPr>
        <w:t>https://organic.ams.usda.gov/integrity/Search.aspx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- is a website that allows for searches of processing plants that are certified organic</w:t>
      </w:r>
    </w:p>
    <w:p>
      <w:pPr>
        <w:pStyle w:val="Body"/>
        <w:numPr>
          <w:ilvl w:val="1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initial inspection of ranch/farm - costing approximately $600 for initial fee, and $500-1,000 for ranch/farm onsite inspection</w:t>
      </w:r>
    </w:p>
    <w:p>
      <w:pPr>
        <w:pStyle w:val="Body"/>
        <w:numPr>
          <w:ilvl w:val="1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yearly inspection of ranch/farm, cost is dependent on volume of sales, however, expect cost to be similar to cost detailed in initial inspection</w:t>
      </w:r>
    </w:p>
    <w:p>
      <w:pPr>
        <w:pStyle w:val="Body"/>
        <w:spacing w:before="100"/>
      </w:pPr>
    </w:p>
    <w:p>
      <w:pPr>
        <w:pStyle w:val="Body"/>
        <w:numPr>
          <w:ilvl w:val="1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 xml:space="preserve">USDA NRCS (National Resource Conservation Services) </w:t>
      </w:r>
    </w:p>
    <w:p>
      <w:pPr>
        <w:pStyle w:val="Body"/>
        <w:numPr>
          <w:ilvl w:val="2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-</w:t>
      </w:r>
      <w:r>
        <w:rPr>
          <w:rStyle w:val="Link"/>
          <w:sz w:val="26"/>
          <w:szCs w:val="26"/>
        </w:rPr>
        <w:fldChar w:fldCharType="begin" w:fldLock="0"/>
      </w:r>
      <w:r>
        <w:rPr>
          <w:rStyle w:val="Link"/>
          <w:sz w:val="26"/>
          <w:szCs w:val="26"/>
        </w:rPr>
        <w:instrText xml:space="preserve"> HYPERLINK "http://www.apple.com"</w:instrText>
      </w:r>
      <w:r>
        <w:rPr>
          <w:rStyle w:val="Link"/>
          <w:sz w:val="26"/>
          <w:szCs w:val="26"/>
        </w:rPr>
        <w:fldChar w:fldCharType="separate" w:fldLock="0"/>
      </w:r>
      <w:r>
        <w:rPr>
          <w:rStyle w:val="Link"/>
          <w:sz w:val="26"/>
          <w:szCs w:val="26"/>
          <w:rtl w:val="0"/>
          <w:lang w:val="en-US"/>
        </w:rPr>
        <w:t xml:space="preserve"> www.nrcs.usda.gov/wps/portal/nrcs/site/national/home/</w:t>
      </w:r>
      <w:r>
        <w:rPr>
          <w:sz w:val="26"/>
          <w:szCs w:val="26"/>
        </w:rPr>
        <w:fldChar w:fldCharType="end" w:fldLock="0"/>
      </w:r>
    </w:p>
    <w:p>
      <w:pPr>
        <w:pStyle w:val="Body"/>
        <w:numPr>
          <w:ilvl w:val="2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some funding from USDA NRCS is specifically for organic farms/ranches</w:t>
      </w:r>
    </w:p>
    <w:p>
      <w:pPr>
        <w:pStyle w:val="Body"/>
        <w:numPr>
          <w:ilvl w:val="2"/>
          <w:numId w:val="3"/>
        </w:numPr>
        <w:spacing w:before="1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one program is the Organic Cost Share Program</w:t>
      </w:r>
    </w:p>
    <w:sectPr>
      <w:headerReference w:type="default" r:id="rId4"/>
      <w:footerReference w:type="default" r:id="rId5"/>
      <w:pgSz w:w="12240" w:h="15840" w:orient="portrait"/>
      <w:pgMar w:top="25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hd w:val="clear" w:color="auto" w:fill="ffffff"/>
      <w:spacing w:after="0" w:line="240" w:lineRule="auto"/>
      <w:jc w:val="center"/>
      <w:rPr>
        <w:rFonts w:ascii="Arial" w:cs="Arial" w:hAnsi="Arial" w:eastAsia="Arial"/>
        <w:color w:val="002060"/>
        <w:sz w:val="28"/>
        <w:szCs w:val="28"/>
        <w:u w:color="002060"/>
      </w:rPr>
    </w:pPr>
    <w:r>
      <w:rPr>
        <w:rFonts w:ascii="Arial" w:hAnsi="Arial"/>
        <w:color w:val="002060"/>
        <w:sz w:val="28"/>
        <w:szCs w:val="28"/>
        <w:u w:color="002060"/>
        <w:rtl w:val="0"/>
        <w:lang w:val="it-IT"/>
      </w:rPr>
      <w:t>envision@centralcoloradoconservancy.org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2019300</wp:posOffset>
          </wp:positionH>
          <wp:positionV relativeFrom="page">
            <wp:posOffset>180975</wp:posOffset>
          </wp:positionV>
          <wp:extent cx="2886075" cy="114998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1149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Bullets">
    <w:name w:val="Bullets"/>
    <w:pPr>
      <w:numPr>
        <w:numId w:val="1"/>
      </w:numPr>
    </w:p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6"/>
      <w:szCs w:val="2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